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58494" w14:textId="0FB71ACD" w:rsidR="00493683" w:rsidRPr="00493683" w:rsidRDefault="00493683" w:rsidP="00493683">
      <w:pPr>
        <w:rPr>
          <w:rFonts w:ascii="Arial" w:hAnsi="Arial" w:cs="Arial"/>
          <w:b/>
          <w:bCs/>
        </w:rPr>
      </w:pPr>
      <w:r w:rsidRPr="00493683">
        <w:rPr>
          <w:rFonts w:ascii="Arial" w:hAnsi="Arial" w:cs="Arial"/>
          <w:b/>
          <w:bCs/>
        </w:rPr>
        <w:t>PPG Network – Discussion Round</w:t>
      </w:r>
      <w:r w:rsidRPr="00493683">
        <w:rPr>
          <w:rFonts w:ascii="Arial" w:hAnsi="Arial" w:cs="Arial"/>
          <w:b/>
          <w:bCs/>
        </w:rPr>
        <w:noBreakHyphen/>
        <w:t>Up</w:t>
      </w:r>
      <w:r w:rsidRPr="009D04F1">
        <w:rPr>
          <w:rFonts w:ascii="Arial" w:hAnsi="Arial" w:cs="Arial"/>
          <w:b/>
          <w:bCs/>
        </w:rPr>
        <w:br/>
      </w:r>
      <w:r w:rsidRPr="00493683">
        <w:rPr>
          <w:rFonts w:ascii="Arial" w:hAnsi="Arial" w:cs="Arial"/>
          <w:b/>
          <w:bCs/>
        </w:rPr>
        <w:t>Monday 30 March 2026 | 1.00pm – 2.30pm</w:t>
      </w:r>
      <w:r w:rsidRPr="00493683">
        <w:rPr>
          <w:rFonts w:ascii="Arial" w:hAnsi="Arial" w:cs="Arial"/>
        </w:rPr>
        <w:br/>
      </w:r>
      <w:r w:rsidRPr="009D04F1">
        <w:rPr>
          <w:rFonts w:ascii="Arial" w:hAnsi="Arial" w:cs="Arial"/>
          <w:b/>
          <w:bCs/>
        </w:rPr>
        <w:br/>
        <w:t xml:space="preserve">Item 1: </w:t>
      </w:r>
      <w:r w:rsidRPr="00493683">
        <w:rPr>
          <w:rFonts w:ascii="Arial" w:hAnsi="Arial" w:cs="Arial"/>
          <w:b/>
          <w:bCs/>
        </w:rPr>
        <w:t>Hospice Letter – Update</w:t>
      </w:r>
      <w:r w:rsidRPr="009D04F1">
        <w:rPr>
          <w:rFonts w:ascii="Arial" w:hAnsi="Arial" w:cs="Arial"/>
          <w:b/>
          <w:bCs/>
        </w:rPr>
        <w:t xml:space="preserve"> (Ian Anderson PPG Chair)</w:t>
      </w:r>
    </w:p>
    <w:p w14:paraId="00B636CA" w14:textId="77777777" w:rsidR="00493683" w:rsidRPr="00493683" w:rsidRDefault="00493683" w:rsidP="00493683">
      <w:pPr>
        <w:rPr>
          <w:rFonts w:ascii="Arial" w:hAnsi="Arial" w:cs="Arial"/>
        </w:rPr>
      </w:pPr>
      <w:r w:rsidRPr="00493683">
        <w:rPr>
          <w:rFonts w:ascii="Arial" w:hAnsi="Arial" w:cs="Arial"/>
        </w:rPr>
        <w:t>Ian provided an update on the recent letter sent on behalf of the PPG Network regarding ongoing concerns about Ashgate Hospice, particularly its financial sustainability and the impact on patients in North Derbyshire.</w:t>
      </w:r>
    </w:p>
    <w:p w14:paraId="69609A14" w14:textId="77777777" w:rsidR="00493683" w:rsidRPr="00493683" w:rsidRDefault="00493683" w:rsidP="00493683">
      <w:pPr>
        <w:rPr>
          <w:rFonts w:ascii="Arial" w:hAnsi="Arial" w:cs="Arial"/>
        </w:rPr>
      </w:pPr>
      <w:r w:rsidRPr="00493683">
        <w:rPr>
          <w:rFonts w:ascii="Arial" w:hAnsi="Arial" w:cs="Arial"/>
          <w:b/>
          <w:bCs/>
        </w:rPr>
        <w:t>Key points discussed:</w:t>
      </w:r>
    </w:p>
    <w:p w14:paraId="3A03E209" w14:textId="77777777" w:rsidR="00493683" w:rsidRPr="009D04F1" w:rsidRDefault="00493683" w:rsidP="00493683">
      <w:pPr>
        <w:pStyle w:val="ListParagraph"/>
        <w:numPr>
          <w:ilvl w:val="0"/>
          <w:numId w:val="19"/>
        </w:numPr>
        <w:rPr>
          <w:rFonts w:ascii="Arial" w:hAnsi="Arial" w:cs="Arial"/>
        </w:rPr>
      </w:pPr>
      <w:r w:rsidRPr="009D04F1">
        <w:rPr>
          <w:rFonts w:ascii="Arial" w:hAnsi="Arial" w:cs="Arial"/>
        </w:rPr>
        <w:t>The PPG Network had written collectively to members of the ICB Board to raise patient concerns about repeated financial difficulties facing Ashgate Hospice.</w:t>
      </w:r>
    </w:p>
    <w:p w14:paraId="4203405F" w14:textId="77777777" w:rsidR="00493683" w:rsidRPr="009D04F1" w:rsidRDefault="00493683" w:rsidP="00493683">
      <w:pPr>
        <w:pStyle w:val="ListParagraph"/>
        <w:numPr>
          <w:ilvl w:val="0"/>
          <w:numId w:val="19"/>
        </w:numPr>
        <w:rPr>
          <w:rFonts w:ascii="Arial" w:hAnsi="Arial" w:cs="Arial"/>
        </w:rPr>
      </w:pPr>
      <w:r w:rsidRPr="009D04F1">
        <w:rPr>
          <w:rFonts w:ascii="Arial" w:hAnsi="Arial" w:cs="Arial"/>
        </w:rPr>
        <w:t>A prompt and constructive response was received from the ICB Chair, which Ian felt demonstrated that patient voice can have influence when it is visible and coordinated.</w:t>
      </w:r>
    </w:p>
    <w:p w14:paraId="11C952D5" w14:textId="77777777" w:rsidR="00493683" w:rsidRPr="009D04F1" w:rsidRDefault="00493683" w:rsidP="00493683">
      <w:pPr>
        <w:pStyle w:val="ListParagraph"/>
        <w:numPr>
          <w:ilvl w:val="0"/>
          <w:numId w:val="19"/>
        </w:numPr>
        <w:rPr>
          <w:rFonts w:ascii="Arial" w:hAnsi="Arial" w:cs="Arial"/>
        </w:rPr>
      </w:pPr>
      <w:r w:rsidRPr="009D04F1">
        <w:rPr>
          <w:rFonts w:ascii="Arial" w:hAnsi="Arial" w:cs="Arial"/>
        </w:rPr>
        <w:t>The letter and response will be shared with Network members as part of the meeting round</w:t>
      </w:r>
      <w:r w:rsidRPr="009D04F1">
        <w:rPr>
          <w:rFonts w:ascii="Arial" w:hAnsi="Arial" w:cs="Arial"/>
        </w:rPr>
        <w:noBreakHyphen/>
        <w:t>up.</w:t>
      </w:r>
    </w:p>
    <w:p w14:paraId="737B7271" w14:textId="77777777" w:rsidR="00493683" w:rsidRPr="009D04F1" w:rsidRDefault="00493683" w:rsidP="00493683">
      <w:pPr>
        <w:pStyle w:val="ListParagraph"/>
        <w:numPr>
          <w:ilvl w:val="0"/>
          <w:numId w:val="19"/>
        </w:numPr>
        <w:rPr>
          <w:rFonts w:ascii="Arial" w:hAnsi="Arial" w:cs="Arial"/>
        </w:rPr>
      </w:pPr>
      <w:r w:rsidRPr="009D04F1">
        <w:rPr>
          <w:rFonts w:ascii="Arial" w:hAnsi="Arial" w:cs="Arial"/>
        </w:rPr>
        <w:t xml:space="preserve">Wider engagement had also taken place locally, including: </w:t>
      </w:r>
    </w:p>
    <w:p w14:paraId="61E25AAD" w14:textId="77777777" w:rsidR="00493683" w:rsidRPr="00493683" w:rsidRDefault="00493683" w:rsidP="00493683">
      <w:pPr>
        <w:numPr>
          <w:ilvl w:val="0"/>
          <w:numId w:val="20"/>
        </w:numPr>
        <w:rPr>
          <w:rFonts w:ascii="Arial" w:hAnsi="Arial" w:cs="Arial"/>
        </w:rPr>
      </w:pPr>
      <w:r w:rsidRPr="00493683">
        <w:rPr>
          <w:rFonts w:ascii="Arial" w:hAnsi="Arial" w:cs="Arial"/>
        </w:rPr>
        <w:t>Engagement with local media (free newspaper reaching around 10,000 households).</w:t>
      </w:r>
    </w:p>
    <w:p w14:paraId="43BD81FA" w14:textId="77777777" w:rsidR="00493683" w:rsidRPr="00493683" w:rsidRDefault="00493683" w:rsidP="00493683">
      <w:pPr>
        <w:numPr>
          <w:ilvl w:val="0"/>
          <w:numId w:val="20"/>
        </w:numPr>
        <w:rPr>
          <w:rFonts w:ascii="Arial" w:hAnsi="Arial" w:cs="Arial"/>
        </w:rPr>
      </w:pPr>
      <w:r w:rsidRPr="00493683">
        <w:rPr>
          <w:rFonts w:ascii="Arial" w:hAnsi="Arial" w:cs="Arial"/>
        </w:rPr>
        <w:t>Engagement with the local MP, Toby Perkins, who had taken an active role in raising the issue at national level.</w:t>
      </w:r>
    </w:p>
    <w:p w14:paraId="58303992" w14:textId="77777777" w:rsidR="00493683" w:rsidRPr="009D04F1" w:rsidRDefault="00493683" w:rsidP="00493683">
      <w:pPr>
        <w:pStyle w:val="ListParagraph"/>
        <w:numPr>
          <w:ilvl w:val="0"/>
          <w:numId w:val="21"/>
        </w:numPr>
        <w:rPr>
          <w:rFonts w:ascii="Arial" w:hAnsi="Arial" w:cs="Arial"/>
        </w:rPr>
      </w:pPr>
      <w:r w:rsidRPr="009D04F1">
        <w:rPr>
          <w:rFonts w:ascii="Arial" w:hAnsi="Arial" w:cs="Arial"/>
        </w:rPr>
        <w:t>A high</w:t>
      </w:r>
      <w:r w:rsidRPr="009D04F1">
        <w:rPr>
          <w:rFonts w:ascii="Arial" w:hAnsi="Arial" w:cs="Arial"/>
        </w:rPr>
        <w:noBreakHyphen/>
        <w:t>level meeting involving the ICB, Ashgate Hospice and the Minister for Health was referenced as helping to “raise the ante” and push parties towards resolution.</w:t>
      </w:r>
    </w:p>
    <w:p w14:paraId="4D1D8981" w14:textId="77777777" w:rsidR="00493683" w:rsidRPr="009D04F1" w:rsidRDefault="00493683" w:rsidP="00493683">
      <w:pPr>
        <w:pStyle w:val="ListParagraph"/>
        <w:numPr>
          <w:ilvl w:val="0"/>
          <w:numId w:val="21"/>
        </w:numPr>
        <w:rPr>
          <w:rFonts w:ascii="Arial" w:hAnsi="Arial" w:cs="Arial"/>
        </w:rPr>
      </w:pPr>
      <w:r w:rsidRPr="009D04F1">
        <w:rPr>
          <w:rFonts w:ascii="Arial" w:hAnsi="Arial" w:cs="Arial"/>
        </w:rPr>
        <w:t>The Charity Commission is now reviewing the hospice’s finances; while the situation remains unresolved, members felt reassured that patient concern had clearly been “pushed into the system”.</w:t>
      </w:r>
    </w:p>
    <w:p w14:paraId="0130F02F" w14:textId="77777777" w:rsidR="00493683" w:rsidRPr="00493683" w:rsidRDefault="00493683" w:rsidP="00493683">
      <w:pPr>
        <w:rPr>
          <w:rFonts w:ascii="Arial" w:hAnsi="Arial" w:cs="Arial"/>
        </w:rPr>
      </w:pPr>
      <w:r w:rsidRPr="00493683">
        <w:rPr>
          <w:rFonts w:ascii="Arial" w:hAnsi="Arial" w:cs="Arial"/>
          <w:b/>
          <w:bCs/>
        </w:rPr>
        <w:t>Key reflection:</w:t>
      </w:r>
    </w:p>
    <w:p w14:paraId="018E5859" w14:textId="5D1FAFEE" w:rsidR="00493683" w:rsidRPr="00493683" w:rsidRDefault="00493683" w:rsidP="00493683">
      <w:pPr>
        <w:numPr>
          <w:ilvl w:val="0"/>
          <w:numId w:val="2"/>
        </w:numPr>
        <w:rPr>
          <w:rFonts w:ascii="Arial" w:hAnsi="Arial" w:cs="Arial"/>
        </w:rPr>
      </w:pPr>
      <w:r w:rsidRPr="00493683">
        <w:rPr>
          <w:rFonts w:ascii="Arial" w:hAnsi="Arial" w:cs="Arial"/>
        </w:rPr>
        <w:t>The discussion reinforced that collective patient voice, particularly when coordinated across PPGs and supported by public and political routes, can carry more weight than individual representations.</w:t>
      </w:r>
    </w:p>
    <w:p w14:paraId="4CDFF00D" w14:textId="0F256600" w:rsidR="00493683" w:rsidRPr="00493683" w:rsidRDefault="00493683" w:rsidP="00493683">
      <w:pPr>
        <w:rPr>
          <w:rFonts w:ascii="Arial" w:hAnsi="Arial" w:cs="Arial"/>
          <w:b/>
          <w:bCs/>
        </w:rPr>
      </w:pPr>
      <w:r w:rsidRPr="009D04F1">
        <w:rPr>
          <w:rFonts w:ascii="Arial" w:hAnsi="Arial" w:cs="Arial"/>
          <w:b/>
          <w:bCs/>
        </w:rPr>
        <w:t>Item 2:</w:t>
      </w:r>
      <w:r w:rsidRPr="00493683">
        <w:rPr>
          <w:rFonts w:ascii="Arial" w:hAnsi="Arial" w:cs="Arial"/>
          <w:b/>
          <w:bCs/>
        </w:rPr>
        <w:t xml:space="preserve"> Inspire Health PPG Access Survey &amp; Emerging Themes</w:t>
      </w:r>
      <w:r w:rsidRPr="009D04F1">
        <w:rPr>
          <w:rFonts w:ascii="Arial" w:hAnsi="Arial" w:cs="Arial"/>
          <w:b/>
          <w:bCs/>
        </w:rPr>
        <w:t xml:space="preserve"> (Ian Anderson)</w:t>
      </w:r>
    </w:p>
    <w:p w14:paraId="604CCEC7" w14:textId="77777777" w:rsidR="00493683" w:rsidRPr="00493683" w:rsidRDefault="00493683" w:rsidP="00493683">
      <w:pPr>
        <w:rPr>
          <w:rFonts w:ascii="Arial" w:hAnsi="Arial" w:cs="Arial"/>
        </w:rPr>
      </w:pPr>
      <w:r w:rsidRPr="00493683">
        <w:rPr>
          <w:rFonts w:ascii="Arial" w:hAnsi="Arial" w:cs="Arial"/>
        </w:rPr>
        <w:t>Ian shared findings from a locally run access survey conducted by Inspire Health PPG, developed in response to frustrations with GP access and limitations of the national GP Patient Survey.</w:t>
      </w:r>
    </w:p>
    <w:p w14:paraId="7DA588CC" w14:textId="77777777" w:rsidR="00493683" w:rsidRPr="00493683" w:rsidRDefault="00493683" w:rsidP="00493683">
      <w:pPr>
        <w:rPr>
          <w:rFonts w:ascii="Arial" w:hAnsi="Arial" w:cs="Arial"/>
        </w:rPr>
      </w:pPr>
      <w:r w:rsidRPr="00493683">
        <w:rPr>
          <w:rFonts w:ascii="Arial" w:hAnsi="Arial" w:cs="Arial"/>
          <w:b/>
          <w:bCs/>
        </w:rPr>
        <w:t>Survey overview:</w:t>
      </w:r>
    </w:p>
    <w:p w14:paraId="527DF883" w14:textId="77777777" w:rsidR="00493683" w:rsidRPr="009D04F1" w:rsidRDefault="00493683" w:rsidP="00493683">
      <w:pPr>
        <w:pStyle w:val="ListParagraph"/>
        <w:numPr>
          <w:ilvl w:val="0"/>
          <w:numId w:val="22"/>
        </w:numPr>
        <w:rPr>
          <w:rFonts w:ascii="Arial" w:hAnsi="Arial" w:cs="Arial"/>
        </w:rPr>
      </w:pPr>
      <w:r w:rsidRPr="009D04F1">
        <w:rPr>
          <w:rFonts w:ascii="Arial" w:hAnsi="Arial" w:cs="Arial"/>
        </w:rPr>
        <w:t>The practice has approximately 20,000 patients and around 1,400 PPG email members.</w:t>
      </w:r>
    </w:p>
    <w:p w14:paraId="45B3A3EA" w14:textId="77777777" w:rsidR="00493683" w:rsidRPr="009D04F1" w:rsidRDefault="00493683" w:rsidP="00493683">
      <w:pPr>
        <w:pStyle w:val="ListParagraph"/>
        <w:numPr>
          <w:ilvl w:val="0"/>
          <w:numId w:val="22"/>
        </w:numPr>
        <w:rPr>
          <w:rFonts w:ascii="Arial" w:hAnsi="Arial" w:cs="Arial"/>
        </w:rPr>
      </w:pPr>
      <w:r w:rsidRPr="009D04F1">
        <w:rPr>
          <w:rFonts w:ascii="Arial" w:hAnsi="Arial" w:cs="Arial"/>
        </w:rPr>
        <w:t>Around 200 responses were received within a short period.</w:t>
      </w:r>
    </w:p>
    <w:p w14:paraId="17A4182F" w14:textId="77777777" w:rsidR="00493683" w:rsidRPr="009D04F1" w:rsidRDefault="00493683" w:rsidP="00493683">
      <w:pPr>
        <w:pStyle w:val="ListParagraph"/>
        <w:numPr>
          <w:ilvl w:val="0"/>
          <w:numId w:val="22"/>
        </w:numPr>
        <w:rPr>
          <w:rFonts w:ascii="Arial" w:hAnsi="Arial" w:cs="Arial"/>
        </w:rPr>
      </w:pPr>
      <w:r w:rsidRPr="009D04F1">
        <w:rPr>
          <w:rFonts w:ascii="Arial" w:hAnsi="Arial" w:cs="Arial"/>
        </w:rPr>
        <w:t>Ian acknowledged the limitations around representativeness, particularly the lack of responses from younger patients.</w:t>
      </w:r>
    </w:p>
    <w:p w14:paraId="0D408431" w14:textId="77777777" w:rsidR="00493683" w:rsidRPr="009D04F1" w:rsidRDefault="00493683" w:rsidP="00493683">
      <w:pPr>
        <w:rPr>
          <w:rFonts w:ascii="Arial" w:hAnsi="Arial" w:cs="Arial"/>
          <w:b/>
          <w:bCs/>
        </w:rPr>
      </w:pPr>
      <w:r w:rsidRPr="00493683">
        <w:rPr>
          <w:rFonts w:ascii="Arial" w:hAnsi="Arial" w:cs="Arial"/>
          <w:b/>
          <w:bCs/>
        </w:rPr>
        <w:t>Headline themes from the data and discussion:</w:t>
      </w:r>
    </w:p>
    <w:p w14:paraId="47E9E629" w14:textId="77777777" w:rsidR="00115B01" w:rsidRPr="00115B01" w:rsidRDefault="00115B01" w:rsidP="00115B01">
      <w:pPr>
        <w:rPr>
          <w:rFonts w:ascii="Arial" w:hAnsi="Arial" w:cs="Arial"/>
        </w:rPr>
      </w:pPr>
      <w:r w:rsidRPr="00115B01">
        <w:rPr>
          <w:rFonts w:ascii="Arial" w:hAnsi="Arial" w:cs="Arial"/>
        </w:rPr>
        <w:t>The discussion focused broadly on:</w:t>
      </w:r>
    </w:p>
    <w:p w14:paraId="732F8337" w14:textId="77777777" w:rsidR="00115B01" w:rsidRPr="009D04F1" w:rsidRDefault="00115B01" w:rsidP="00115B01">
      <w:pPr>
        <w:pStyle w:val="ListParagraph"/>
        <w:numPr>
          <w:ilvl w:val="0"/>
          <w:numId w:val="24"/>
        </w:numPr>
        <w:rPr>
          <w:rFonts w:ascii="Arial" w:hAnsi="Arial" w:cs="Arial"/>
        </w:rPr>
      </w:pPr>
      <w:r w:rsidRPr="009D04F1">
        <w:rPr>
          <w:rFonts w:ascii="Arial" w:hAnsi="Arial" w:cs="Arial"/>
        </w:rPr>
        <w:lastRenderedPageBreak/>
        <w:t>Different ways patients currently access general practice and how these are experienced.</w:t>
      </w:r>
    </w:p>
    <w:p w14:paraId="00C9CA66" w14:textId="77777777" w:rsidR="00115B01" w:rsidRPr="009D04F1" w:rsidRDefault="00115B01" w:rsidP="00115B01">
      <w:pPr>
        <w:pStyle w:val="ListParagraph"/>
        <w:numPr>
          <w:ilvl w:val="0"/>
          <w:numId w:val="24"/>
        </w:numPr>
        <w:rPr>
          <w:rFonts w:ascii="Arial" w:hAnsi="Arial" w:cs="Arial"/>
        </w:rPr>
      </w:pPr>
      <w:r w:rsidRPr="009D04F1">
        <w:rPr>
          <w:rFonts w:ascii="Arial" w:hAnsi="Arial" w:cs="Arial"/>
        </w:rPr>
        <w:t>Variability in patient experience of access, depending on individual circumstances and needs.</w:t>
      </w:r>
    </w:p>
    <w:p w14:paraId="58665071" w14:textId="77777777" w:rsidR="00115B01" w:rsidRPr="009D04F1" w:rsidRDefault="00115B01" w:rsidP="00115B01">
      <w:pPr>
        <w:pStyle w:val="ListParagraph"/>
        <w:numPr>
          <w:ilvl w:val="0"/>
          <w:numId w:val="24"/>
        </w:numPr>
        <w:rPr>
          <w:rFonts w:ascii="Arial" w:hAnsi="Arial" w:cs="Arial"/>
        </w:rPr>
      </w:pPr>
      <w:r w:rsidRPr="009D04F1">
        <w:rPr>
          <w:rFonts w:ascii="Arial" w:hAnsi="Arial" w:cs="Arial"/>
        </w:rPr>
        <w:t>The importance of continuity of care, particularly for people with long</w:t>
      </w:r>
      <w:r w:rsidRPr="009D04F1">
        <w:rPr>
          <w:rFonts w:ascii="Arial" w:hAnsi="Arial" w:cs="Arial"/>
        </w:rPr>
        <w:noBreakHyphen/>
        <w:t>term or complex conditions.</w:t>
      </w:r>
    </w:p>
    <w:p w14:paraId="6828F164" w14:textId="77777777" w:rsidR="00115B01" w:rsidRPr="009D04F1" w:rsidRDefault="00115B01" w:rsidP="00115B01">
      <w:pPr>
        <w:pStyle w:val="ListParagraph"/>
        <w:numPr>
          <w:ilvl w:val="0"/>
          <w:numId w:val="24"/>
        </w:numPr>
        <w:rPr>
          <w:rFonts w:ascii="Arial" w:hAnsi="Arial" w:cs="Arial"/>
        </w:rPr>
      </w:pPr>
      <w:r w:rsidRPr="009D04F1">
        <w:rPr>
          <w:rFonts w:ascii="Arial" w:hAnsi="Arial" w:cs="Arial"/>
        </w:rPr>
        <w:t>Patient views on booking arrangements, including preferences around timing and clinician choice.</w:t>
      </w:r>
    </w:p>
    <w:p w14:paraId="05C175AE" w14:textId="77777777" w:rsidR="00115B01" w:rsidRPr="009D04F1" w:rsidRDefault="00115B01" w:rsidP="00115B01">
      <w:pPr>
        <w:pStyle w:val="ListParagraph"/>
        <w:numPr>
          <w:ilvl w:val="0"/>
          <w:numId w:val="24"/>
        </w:numPr>
        <w:rPr>
          <w:rFonts w:ascii="Arial" w:hAnsi="Arial" w:cs="Arial"/>
        </w:rPr>
      </w:pPr>
      <w:r w:rsidRPr="009D04F1">
        <w:rPr>
          <w:rFonts w:ascii="Arial" w:hAnsi="Arial" w:cs="Arial"/>
        </w:rPr>
        <w:t>Challenges faced by some patients when accessing services, including people who are digitally excluded, living with disabilities, or experiencing mental health difficulties.</w:t>
      </w:r>
    </w:p>
    <w:p w14:paraId="30348D3A" w14:textId="7C69DF19" w:rsidR="00115B01" w:rsidRPr="00493683" w:rsidRDefault="00115B01" w:rsidP="00493683">
      <w:pPr>
        <w:rPr>
          <w:rFonts w:ascii="Arial" w:hAnsi="Arial" w:cs="Arial"/>
        </w:rPr>
      </w:pPr>
      <w:r w:rsidRPr="00115B01">
        <w:rPr>
          <w:rFonts w:ascii="Arial" w:hAnsi="Arial" w:cs="Arial"/>
        </w:rPr>
        <w:t>It was noted that free</w:t>
      </w:r>
      <w:r w:rsidRPr="00115B01">
        <w:rPr>
          <w:rFonts w:ascii="Arial" w:hAnsi="Arial" w:cs="Arial"/>
        </w:rPr>
        <w:noBreakHyphen/>
        <w:t xml:space="preserve">text comments had been analysed to support constructive conversations with the practice. This analysis is being used </w:t>
      </w:r>
      <w:r w:rsidRPr="00115B01">
        <w:rPr>
          <w:rFonts w:ascii="Arial" w:hAnsi="Arial" w:cs="Arial"/>
          <w:b/>
          <w:bCs/>
        </w:rPr>
        <w:t>internally as a working tool</w:t>
      </w:r>
      <w:r w:rsidRPr="00115B01">
        <w:rPr>
          <w:rFonts w:ascii="Arial" w:hAnsi="Arial" w:cs="Arial"/>
        </w:rPr>
        <w:t xml:space="preserve"> to support improvement discussions</w:t>
      </w:r>
      <w:r w:rsidRPr="009D04F1">
        <w:rPr>
          <w:rFonts w:ascii="Arial" w:hAnsi="Arial" w:cs="Arial"/>
        </w:rPr>
        <w:t>.</w:t>
      </w:r>
    </w:p>
    <w:p w14:paraId="3CEBFDC2" w14:textId="04A0BA45" w:rsidR="00493683" w:rsidRPr="00493683" w:rsidRDefault="00493683" w:rsidP="00493683">
      <w:pPr>
        <w:rPr>
          <w:rFonts w:ascii="Arial" w:hAnsi="Arial" w:cs="Arial"/>
        </w:rPr>
      </w:pPr>
      <w:r w:rsidRPr="00493683">
        <w:rPr>
          <w:rFonts w:ascii="Arial" w:hAnsi="Arial" w:cs="Arial"/>
          <w:b/>
          <w:bCs/>
        </w:rPr>
        <w:t>Next steps:</w:t>
      </w:r>
    </w:p>
    <w:p w14:paraId="4472DDA2" w14:textId="77777777" w:rsidR="00493683" w:rsidRPr="009D04F1" w:rsidRDefault="00493683" w:rsidP="00115B01">
      <w:pPr>
        <w:pStyle w:val="ListParagraph"/>
        <w:numPr>
          <w:ilvl w:val="0"/>
          <w:numId w:val="25"/>
        </w:numPr>
        <w:rPr>
          <w:rFonts w:ascii="Arial" w:hAnsi="Arial" w:cs="Arial"/>
        </w:rPr>
      </w:pPr>
      <w:r w:rsidRPr="009D04F1">
        <w:rPr>
          <w:rFonts w:ascii="Arial" w:hAnsi="Arial" w:cs="Arial"/>
        </w:rPr>
        <w:t>Inspire Health PPG will continue structured discussions with the practice using the themed findings.</w:t>
      </w:r>
    </w:p>
    <w:p w14:paraId="6871C055" w14:textId="3433B2E1" w:rsidR="00493683" w:rsidRPr="009D04F1" w:rsidRDefault="00493683" w:rsidP="00493683">
      <w:pPr>
        <w:pStyle w:val="ListParagraph"/>
        <w:numPr>
          <w:ilvl w:val="0"/>
          <w:numId w:val="25"/>
        </w:numPr>
        <w:rPr>
          <w:rFonts w:ascii="Arial" w:hAnsi="Arial" w:cs="Arial"/>
        </w:rPr>
      </w:pPr>
      <w:r w:rsidRPr="009D04F1">
        <w:rPr>
          <w:rFonts w:ascii="Arial" w:hAnsi="Arial" w:cs="Arial"/>
        </w:rPr>
        <w:t xml:space="preserve">The survey was viewed as a </w:t>
      </w:r>
      <w:r w:rsidRPr="009D04F1">
        <w:rPr>
          <w:rFonts w:ascii="Arial" w:hAnsi="Arial" w:cs="Arial"/>
          <w:b/>
          <w:bCs/>
        </w:rPr>
        <w:t>conversation starter</w:t>
      </w:r>
      <w:r w:rsidRPr="009D04F1">
        <w:rPr>
          <w:rFonts w:ascii="Arial" w:hAnsi="Arial" w:cs="Arial"/>
        </w:rPr>
        <w:t>, rather than a definitive statistical exercise.</w:t>
      </w:r>
    </w:p>
    <w:p w14:paraId="6EEC74B0" w14:textId="183A15F1" w:rsidR="00493683" w:rsidRPr="00493683" w:rsidRDefault="00493683" w:rsidP="00493683">
      <w:pPr>
        <w:rPr>
          <w:rFonts w:ascii="Arial" w:hAnsi="Arial" w:cs="Arial"/>
          <w:b/>
          <w:bCs/>
        </w:rPr>
      </w:pPr>
      <w:r w:rsidRPr="00493683">
        <w:rPr>
          <w:rFonts w:ascii="Arial" w:hAnsi="Arial" w:cs="Arial"/>
          <w:b/>
          <w:bCs/>
        </w:rPr>
        <w:t xml:space="preserve"> </w:t>
      </w:r>
      <w:r w:rsidR="00115B01" w:rsidRPr="009D04F1">
        <w:rPr>
          <w:rFonts w:ascii="Arial" w:hAnsi="Arial" w:cs="Arial"/>
          <w:b/>
          <w:bCs/>
        </w:rPr>
        <w:t xml:space="preserve">Item 3: </w:t>
      </w:r>
      <w:r w:rsidRPr="00493683">
        <w:rPr>
          <w:rFonts w:ascii="Arial" w:hAnsi="Arial" w:cs="Arial"/>
          <w:b/>
          <w:bCs/>
        </w:rPr>
        <w:t>GP Contract 2026/27 – Access Changes</w:t>
      </w:r>
      <w:r w:rsidR="00115B01" w:rsidRPr="009D04F1">
        <w:rPr>
          <w:rFonts w:ascii="Arial" w:hAnsi="Arial" w:cs="Arial"/>
          <w:b/>
          <w:bCs/>
        </w:rPr>
        <w:t xml:space="preserve"> (Ian Anderson)</w:t>
      </w:r>
    </w:p>
    <w:p w14:paraId="02B7EFC3" w14:textId="77777777" w:rsidR="00493683" w:rsidRPr="00493683" w:rsidRDefault="00493683" w:rsidP="00493683">
      <w:pPr>
        <w:rPr>
          <w:rFonts w:ascii="Arial" w:hAnsi="Arial" w:cs="Arial"/>
        </w:rPr>
      </w:pPr>
      <w:r w:rsidRPr="00493683">
        <w:rPr>
          <w:rFonts w:ascii="Arial" w:hAnsi="Arial" w:cs="Arial"/>
        </w:rPr>
        <w:t>Ian shared a summary of proposed changes in the 2026/27 GP contract, focusing on access requirements.</w:t>
      </w:r>
    </w:p>
    <w:p w14:paraId="6575BE0B" w14:textId="77777777" w:rsidR="00493683" w:rsidRPr="00493683" w:rsidRDefault="00493683" w:rsidP="00493683">
      <w:pPr>
        <w:rPr>
          <w:rFonts w:ascii="Arial" w:hAnsi="Arial" w:cs="Arial"/>
        </w:rPr>
      </w:pPr>
      <w:r w:rsidRPr="00493683">
        <w:rPr>
          <w:rFonts w:ascii="Arial" w:hAnsi="Arial" w:cs="Arial"/>
          <w:b/>
          <w:bCs/>
        </w:rPr>
        <w:t>Key changes discussed:</w:t>
      </w:r>
    </w:p>
    <w:p w14:paraId="710888AB" w14:textId="77777777" w:rsidR="00493683" w:rsidRPr="009D04F1" w:rsidRDefault="00493683" w:rsidP="00115B01">
      <w:pPr>
        <w:pStyle w:val="ListParagraph"/>
        <w:numPr>
          <w:ilvl w:val="0"/>
          <w:numId w:val="26"/>
        </w:numPr>
        <w:rPr>
          <w:rFonts w:ascii="Arial" w:hAnsi="Arial" w:cs="Arial"/>
        </w:rPr>
      </w:pPr>
      <w:r w:rsidRPr="009D04F1">
        <w:rPr>
          <w:rFonts w:ascii="Arial" w:hAnsi="Arial" w:cs="Arial"/>
        </w:rPr>
        <w:t>Same</w:t>
      </w:r>
      <w:r w:rsidRPr="009D04F1">
        <w:rPr>
          <w:rFonts w:ascii="Arial" w:hAnsi="Arial" w:cs="Arial"/>
        </w:rPr>
        <w:noBreakHyphen/>
        <w:t>day response for clinically urgent requests.</w:t>
      </w:r>
    </w:p>
    <w:p w14:paraId="6F6FFC7B" w14:textId="77777777" w:rsidR="00493683" w:rsidRPr="009D04F1" w:rsidRDefault="00493683" w:rsidP="00115B01">
      <w:pPr>
        <w:pStyle w:val="ListParagraph"/>
        <w:numPr>
          <w:ilvl w:val="0"/>
          <w:numId w:val="26"/>
        </w:numPr>
        <w:rPr>
          <w:rFonts w:ascii="Arial" w:hAnsi="Arial" w:cs="Arial"/>
        </w:rPr>
      </w:pPr>
      <w:r w:rsidRPr="009D04F1">
        <w:rPr>
          <w:rFonts w:ascii="Arial" w:hAnsi="Arial" w:cs="Arial"/>
        </w:rPr>
        <w:t>Removal of “call back tomorrow” messages – all requests should receive a response by the next working day.</w:t>
      </w:r>
    </w:p>
    <w:p w14:paraId="3635FE55" w14:textId="77777777" w:rsidR="00493683" w:rsidRPr="009D04F1" w:rsidRDefault="00493683" w:rsidP="00115B01">
      <w:pPr>
        <w:pStyle w:val="ListParagraph"/>
        <w:numPr>
          <w:ilvl w:val="0"/>
          <w:numId w:val="26"/>
        </w:numPr>
        <w:rPr>
          <w:rFonts w:ascii="Arial" w:hAnsi="Arial" w:cs="Arial"/>
        </w:rPr>
      </w:pPr>
      <w:r w:rsidRPr="009D04F1">
        <w:rPr>
          <w:rFonts w:ascii="Arial" w:hAnsi="Arial" w:cs="Arial"/>
        </w:rPr>
        <w:t>Multiple access routes must be available (phone, online, walk</w:t>
      </w:r>
      <w:r w:rsidRPr="009D04F1">
        <w:rPr>
          <w:rFonts w:ascii="Arial" w:hAnsi="Arial" w:cs="Arial"/>
        </w:rPr>
        <w:noBreakHyphen/>
        <w:t>in), with equity of access regardless of route.</w:t>
      </w:r>
    </w:p>
    <w:p w14:paraId="506AE243" w14:textId="77777777" w:rsidR="00493683" w:rsidRPr="009D04F1" w:rsidRDefault="00493683" w:rsidP="00115B01">
      <w:pPr>
        <w:pStyle w:val="ListParagraph"/>
        <w:numPr>
          <w:ilvl w:val="0"/>
          <w:numId w:val="26"/>
        </w:numPr>
        <w:rPr>
          <w:rFonts w:ascii="Arial" w:hAnsi="Arial" w:cs="Arial"/>
        </w:rPr>
      </w:pPr>
      <w:r w:rsidRPr="009D04F1">
        <w:rPr>
          <w:rFonts w:ascii="Arial" w:hAnsi="Arial" w:cs="Arial"/>
        </w:rPr>
        <w:t>Increased monitoring and reporting of access performance by practices.</w:t>
      </w:r>
    </w:p>
    <w:p w14:paraId="2F7706F2" w14:textId="77777777" w:rsidR="00493683" w:rsidRPr="009D04F1" w:rsidRDefault="00493683" w:rsidP="00115B01">
      <w:pPr>
        <w:pStyle w:val="ListParagraph"/>
        <w:numPr>
          <w:ilvl w:val="0"/>
          <w:numId w:val="26"/>
        </w:numPr>
        <w:rPr>
          <w:rFonts w:ascii="Arial" w:hAnsi="Arial" w:cs="Arial"/>
        </w:rPr>
      </w:pPr>
      <w:r w:rsidRPr="009D04F1">
        <w:rPr>
          <w:rFonts w:ascii="Arial" w:hAnsi="Arial" w:cs="Arial"/>
        </w:rPr>
        <w:t>Funding aimed at increasing GP and wider clinical capacity, though concerns were raised about workforce availability and supervision.</w:t>
      </w:r>
    </w:p>
    <w:p w14:paraId="04524D41" w14:textId="77777777" w:rsidR="00493683" w:rsidRPr="009D04F1" w:rsidRDefault="00493683" w:rsidP="00115B01">
      <w:pPr>
        <w:pStyle w:val="ListParagraph"/>
        <w:numPr>
          <w:ilvl w:val="0"/>
          <w:numId w:val="26"/>
        </w:numPr>
        <w:rPr>
          <w:rFonts w:ascii="Arial" w:hAnsi="Arial" w:cs="Arial"/>
        </w:rPr>
      </w:pPr>
      <w:r w:rsidRPr="009D04F1">
        <w:rPr>
          <w:rFonts w:ascii="Arial" w:hAnsi="Arial" w:cs="Arial"/>
        </w:rPr>
        <w:t>Ongoing expansion of multidisciplinary teams within practices.</w:t>
      </w:r>
    </w:p>
    <w:p w14:paraId="646A7A32" w14:textId="77777777" w:rsidR="00493683" w:rsidRPr="00493683" w:rsidRDefault="00493683" w:rsidP="00493683">
      <w:pPr>
        <w:rPr>
          <w:rFonts w:ascii="Arial" w:hAnsi="Arial" w:cs="Arial"/>
        </w:rPr>
      </w:pPr>
      <w:r w:rsidRPr="00493683">
        <w:rPr>
          <w:rFonts w:ascii="Arial" w:hAnsi="Arial" w:cs="Arial"/>
          <w:b/>
          <w:bCs/>
        </w:rPr>
        <w:t>Concerns raised:</w:t>
      </w:r>
    </w:p>
    <w:p w14:paraId="63DECA38" w14:textId="77777777" w:rsidR="00493683" w:rsidRPr="009D04F1" w:rsidRDefault="00493683" w:rsidP="00115B01">
      <w:pPr>
        <w:pStyle w:val="ListParagraph"/>
        <w:numPr>
          <w:ilvl w:val="0"/>
          <w:numId w:val="27"/>
        </w:numPr>
        <w:rPr>
          <w:rFonts w:ascii="Arial" w:hAnsi="Arial" w:cs="Arial"/>
        </w:rPr>
      </w:pPr>
      <w:r w:rsidRPr="009D04F1">
        <w:rPr>
          <w:rFonts w:ascii="Arial" w:hAnsi="Arial" w:cs="Arial"/>
        </w:rPr>
        <w:t>Many local practices have not yet signed up and are anxious about their ability to deliver the requirements.</w:t>
      </w:r>
    </w:p>
    <w:p w14:paraId="7500C26C" w14:textId="77777777" w:rsidR="00493683" w:rsidRPr="009D04F1" w:rsidRDefault="00493683" w:rsidP="00115B01">
      <w:pPr>
        <w:pStyle w:val="ListParagraph"/>
        <w:numPr>
          <w:ilvl w:val="0"/>
          <w:numId w:val="27"/>
        </w:numPr>
        <w:rPr>
          <w:rFonts w:ascii="Arial" w:hAnsi="Arial" w:cs="Arial"/>
        </w:rPr>
      </w:pPr>
      <w:r w:rsidRPr="009D04F1">
        <w:rPr>
          <w:rFonts w:ascii="Arial" w:hAnsi="Arial" w:cs="Arial"/>
        </w:rPr>
        <w:t>Public awareness of recent access changes (e.g. removal of 8am/5pm rush) remains low.</w:t>
      </w:r>
    </w:p>
    <w:p w14:paraId="392FA1A5" w14:textId="77777777" w:rsidR="00493683" w:rsidRPr="009D04F1" w:rsidRDefault="00493683" w:rsidP="00115B01">
      <w:pPr>
        <w:pStyle w:val="ListParagraph"/>
        <w:numPr>
          <w:ilvl w:val="0"/>
          <w:numId w:val="27"/>
        </w:numPr>
        <w:rPr>
          <w:rFonts w:ascii="Arial" w:hAnsi="Arial" w:cs="Arial"/>
        </w:rPr>
      </w:pPr>
      <w:r w:rsidRPr="009D04F1">
        <w:rPr>
          <w:rFonts w:ascii="Arial" w:hAnsi="Arial" w:cs="Arial"/>
        </w:rPr>
        <w:t>Risk that increased monitoring adds administrative burden to already stretched practices.</w:t>
      </w:r>
    </w:p>
    <w:p w14:paraId="73590CE2" w14:textId="77777777" w:rsidR="00493683" w:rsidRPr="009D04F1" w:rsidRDefault="00493683" w:rsidP="00115B01">
      <w:pPr>
        <w:pStyle w:val="ListParagraph"/>
        <w:numPr>
          <w:ilvl w:val="0"/>
          <w:numId w:val="27"/>
        </w:numPr>
        <w:rPr>
          <w:rFonts w:ascii="Arial" w:hAnsi="Arial" w:cs="Arial"/>
        </w:rPr>
      </w:pPr>
      <w:r w:rsidRPr="009D04F1">
        <w:rPr>
          <w:rFonts w:ascii="Arial" w:hAnsi="Arial" w:cs="Arial"/>
        </w:rPr>
        <w:t>Ongoing uncertainty about how continuity of care fits within a system driven by demand management.</w:t>
      </w:r>
    </w:p>
    <w:p w14:paraId="2F10DFBE" w14:textId="143706B1" w:rsidR="00493683" w:rsidRPr="00493683" w:rsidRDefault="00115B01" w:rsidP="00493683">
      <w:pPr>
        <w:rPr>
          <w:rFonts w:ascii="Arial" w:hAnsi="Arial" w:cs="Arial"/>
          <w:b/>
          <w:bCs/>
        </w:rPr>
      </w:pPr>
      <w:r w:rsidRPr="009D04F1">
        <w:rPr>
          <w:rFonts w:ascii="Arial" w:hAnsi="Arial" w:cs="Arial"/>
          <w:b/>
          <w:bCs/>
        </w:rPr>
        <w:t xml:space="preserve">Item 4: </w:t>
      </w:r>
      <w:r w:rsidR="00493683" w:rsidRPr="00493683">
        <w:rPr>
          <w:rFonts w:ascii="Arial" w:hAnsi="Arial" w:cs="Arial"/>
          <w:b/>
          <w:bCs/>
        </w:rPr>
        <w:t>Wider Discussion and Learning from PPGs</w:t>
      </w:r>
      <w:r w:rsidRPr="009D04F1">
        <w:rPr>
          <w:rFonts w:ascii="Arial" w:hAnsi="Arial" w:cs="Arial"/>
          <w:b/>
          <w:bCs/>
        </w:rPr>
        <w:t xml:space="preserve"> (All)</w:t>
      </w:r>
    </w:p>
    <w:p w14:paraId="356444B4" w14:textId="77777777" w:rsidR="00493683" w:rsidRPr="00493683" w:rsidRDefault="00493683" w:rsidP="00493683">
      <w:pPr>
        <w:rPr>
          <w:rFonts w:ascii="Arial" w:hAnsi="Arial" w:cs="Arial"/>
        </w:rPr>
      </w:pPr>
      <w:r w:rsidRPr="00493683">
        <w:rPr>
          <w:rFonts w:ascii="Arial" w:hAnsi="Arial" w:cs="Arial"/>
        </w:rPr>
        <w:t>Members shared experiences from other practices and PCNs, including:</w:t>
      </w:r>
    </w:p>
    <w:p w14:paraId="62AC8E92" w14:textId="77777777" w:rsidR="00493683" w:rsidRPr="009D04F1" w:rsidRDefault="00493683" w:rsidP="00115B01">
      <w:pPr>
        <w:pStyle w:val="ListParagraph"/>
        <w:numPr>
          <w:ilvl w:val="0"/>
          <w:numId w:val="28"/>
        </w:numPr>
        <w:rPr>
          <w:rFonts w:ascii="Arial" w:hAnsi="Arial" w:cs="Arial"/>
        </w:rPr>
      </w:pPr>
      <w:r w:rsidRPr="009D04F1">
        <w:rPr>
          <w:rFonts w:ascii="Arial" w:hAnsi="Arial" w:cs="Arial"/>
        </w:rPr>
        <w:t>Use of Rapid Health triage and capacity management systems in some areas, reported as significantly improving access and reducing the “8am rush”.</w:t>
      </w:r>
    </w:p>
    <w:p w14:paraId="10E6676F" w14:textId="77777777" w:rsidR="00493683" w:rsidRPr="009D04F1" w:rsidRDefault="00493683" w:rsidP="00115B01">
      <w:pPr>
        <w:pStyle w:val="ListParagraph"/>
        <w:numPr>
          <w:ilvl w:val="0"/>
          <w:numId w:val="28"/>
        </w:numPr>
        <w:rPr>
          <w:rFonts w:ascii="Arial" w:hAnsi="Arial" w:cs="Arial"/>
        </w:rPr>
      </w:pPr>
      <w:r w:rsidRPr="009D04F1">
        <w:rPr>
          <w:rFonts w:ascii="Arial" w:hAnsi="Arial" w:cs="Arial"/>
        </w:rPr>
        <w:lastRenderedPageBreak/>
        <w:t>Importance of PCN</w:t>
      </w:r>
      <w:r w:rsidRPr="009D04F1">
        <w:rPr>
          <w:rFonts w:ascii="Arial" w:hAnsi="Arial" w:cs="Arial"/>
        </w:rPr>
        <w:noBreakHyphen/>
        <w:t>level decision</w:t>
      </w:r>
      <w:r w:rsidRPr="009D04F1">
        <w:rPr>
          <w:rFonts w:ascii="Arial" w:hAnsi="Arial" w:cs="Arial"/>
        </w:rPr>
        <w:noBreakHyphen/>
        <w:t>making for major system changes.</w:t>
      </w:r>
    </w:p>
    <w:p w14:paraId="721AD27B" w14:textId="77777777" w:rsidR="00493683" w:rsidRPr="009D04F1" w:rsidRDefault="00493683" w:rsidP="00115B01">
      <w:pPr>
        <w:pStyle w:val="ListParagraph"/>
        <w:numPr>
          <w:ilvl w:val="0"/>
          <w:numId w:val="28"/>
        </w:numPr>
        <w:rPr>
          <w:rFonts w:ascii="Arial" w:hAnsi="Arial" w:cs="Arial"/>
        </w:rPr>
      </w:pPr>
      <w:r w:rsidRPr="009D04F1">
        <w:rPr>
          <w:rFonts w:ascii="Arial" w:hAnsi="Arial" w:cs="Arial"/>
        </w:rPr>
        <w:t>The value of PPGs supporting patients during implementation of new systems to ensure equity of access.</w:t>
      </w:r>
    </w:p>
    <w:p w14:paraId="0A09ABA1" w14:textId="77777777" w:rsidR="00493683" w:rsidRPr="009D04F1" w:rsidRDefault="00493683" w:rsidP="00115B01">
      <w:pPr>
        <w:pStyle w:val="ListParagraph"/>
        <w:numPr>
          <w:ilvl w:val="0"/>
          <w:numId w:val="28"/>
        </w:numPr>
        <w:rPr>
          <w:rFonts w:ascii="Arial" w:hAnsi="Arial" w:cs="Arial"/>
        </w:rPr>
      </w:pPr>
      <w:r w:rsidRPr="009D04F1">
        <w:rPr>
          <w:rFonts w:ascii="Arial" w:hAnsi="Arial" w:cs="Arial"/>
        </w:rPr>
        <w:t>Recognition that surveys often confirm existing “gut feel</w:t>
      </w:r>
      <w:proofErr w:type="gramStart"/>
      <w:r w:rsidRPr="009D04F1">
        <w:rPr>
          <w:rFonts w:ascii="Arial" w:hAnsi="Arial" w:cs="Arial"/>
        </w:rPr>
        <w:t>”, but</w:t>
      </w:r>
      <w:proofErr w:type="gramEnd"/>
      <w:r w:rsidRPr="009D04F1">
        <w:rPr>
          <w:rFonts w:ascii="Arial" w:hAnsi="Arial" w:cs="Arial"/>
        </w:rPr>
        <w:t xml:space="preserve"> still provide useful evidence for dialogue.</w:t>
      </w:r>
    </w:p>
    <w:p w14:paraId="06A9D734" w14:textId="1A35A72E" w:rsidR="00493683" w:rsidRPr="009D04F1" w:rsidRDefault="00493683" w:rsidP="00493683">
      <w:pPr>
        <w:pStyle w:val="ListParagraph"/>
        <w:numPr>
          <w:ilvl w:val="0"/>
          <w:numId w:val="28"/>
        </w:numPr>
        <w:rPr>
          <w:rFonts w:ascii="Arial" w:hAnsi="Arial" w:cs="Arial"/>
        </w:rPr>
      </w:pPr>
      <w:r w:rsidRPr="009D04F1">
        <w:rPr>
          <w:rFonts w:ascii="Arial" w:hAnsi="Arial" w:cs="Arial"/>
        </w:rPr>
        <w:t>Strong interest in working together as a PPG Network to raise shared concerns collectively with the ICB.</w:t>
      </w:r>
    </w:p>
    <w:p w14:paraId="054F5EE1" w14:textId="7FA64C71" w:rsidR="00493683" w:rsidRPr="00493683" w:rsidRDefault="00115B01" w:rsidP="00493683">
      <w:pPr>
        <w:rPr>
          <w:rFonts w:ascii="Arial" w:hAnsi="Arial" w:cs="Arial"/>
          <w:b/>
          <w:bCs/>
        </w:rPr>
      </w:pPr>
      <w:r w:rsidRPr="009D04F1">
        <w:rPr>
          <w:rFonts w:ascii="Arial" w:hAnsi="Arial" w:cs="Arial"/>
          <w:b/>
          <w:bCs/>
        </w:rPr>
        <w:t xml:space="preserve">Item 5: </w:t>
      </w:r>
      <w:r w:rsidR="00493683" w:rsidRPr="00493683">
        <w:rPr>
          <w:rFonts w:ascii="Arial" w:hAnsi="Arial" w:cs="Arial"/>
          <w:b/>
          <w:bCs/>
        </w:rPr>
        <w:t xml:space="preserve">Any Other Business </w:t>
      </w:r>
      <w:r w:rsidRPr="009D04F1">
        <w:rPr>
          <w:rFonts w:ascii="Arial" w:hAnsi="Arial" w:cs="Arial"/>
          <w:b/>
          <w:bCs/>
        </w:rPr>
        <w:t>(All)</w:t>
      </w:r>
    </w:p>
    <w:p w14:paraId="50F78959" w14:textId="77777777" w:rsidR="00493683" w:rsidRPr="00493683" w:rsidRDefault="00493683" w:rsidP="00493683">
      <w:pPr>
        <w:rPr>
          <w:rFonts w:ascii="Arial" w:hAnsi="Arial" w:cs="Arial"/>
        </w:rPr>
      </w:pPr>
      <w:r w:rsidRPr="00493683">
        <w:rPr>
          <w:rFonts w:ascii="Arial" w:hAnsi="Arial" w:cs="Arial"/>
          <w:b/>
          <w:bCs/>
        </w:rPr>
        <w:t>Positive feedback on the PPG Network and Inspire Health PPG work</w:t>
      </w:r>
    </w:p>
    <w:p w14:paraId="435D013A" w14:textId="2255CB7D" w:rsidR="00493683" w:rsidRPr="00493683" w:rsidRDefault="00115B01" w:rsidP="00493683">
      <w:pPr>
        <w:numPr>
          <w:ilvl w:val="0"/>
          <w:numId w:val="16"/>
        </w:numPr>
        <w:rPr>
          <w:rFonts w:ascii="Arial" w:hAnsi="Arial" w:cs="Arial"/>
        </w:rPr>
      </w:pPr>
      <w:r w:rsidRPr="009D04F1">
        <w:rPr>
          <w:rFonts w:ascii="Arial" w:hAnsi="Arial" w:cs="Arial"/>
        </w:rPr>
        <w:t>VP</w:t>
      </w:r>
      <w:r w:rsidR="00493683" w:rsidRPr="00493683">
        <w:rPr>
          <w:rFonts w:ascii="Arial" w:hAnsi="Arial" w:cs="Arial"/>
        </w:rPr>
        <w:t xml:space="preserve"> shared positive feedback on the impact of the PPG Network and Ian Anderson’s previous input to her practice. </w:t>
      </w:r>
    </w:p>
    <w:p w14:paraId="6204D9D2" w14:textId="61E607B5" w:rsidR="00493683" w:rsidRPr="009D04F1" w:rsidRDefault="00493683" w:rsidP="00115B01">
      <w:pPr>
        <w:pStyle w:val="ListParagraph"/>
        <w:numPr>
          <w:ilvl w:val="0"/>
          <w:numId w:val="29"/>
        </w:numPr>
        <w:rPr>
          <w:rFonts w:ascii="Arial" w:hAnsi="Arial" w:cs="Arial"/>
        </w:rPr>
      </w:pPr>
      <w:r w:rsidRPr="009D04F1">
        <w:rPr>
          <w:rFonts w:ascii="Arial" w:hAnsi="Arial" w:cs="Arial"/>
        </w:rPr>
        <w:t xml:space="preserve">Following a presentation and discussion last year, the practice held further meetings and ran a survey which </w:t>
      </w:r>
      <w:r w:rsidR="00115B01" w:rsidRPr="009D04F1">
        <w:rPr>
          <w:rFonts w:ascii="Arial" w:hAnsi="Arial" w:cs="Arial"/>
        </w:rPr>
        <w:t>was</w:t>
      </w:r>
      <w:r w:rsidRPr="009D04F1">
        <w:rPr>
          <w:rFonts w:ascii="Arial" w:hAnsi="Arial" w:cs="Arial"/>
        </w:rPr>
        <w:t xml:space="preserve"> described as much more effective.</w:t>
      </w:r>
    </w:p>
    <w:p w14:paraId="6F253FA1" w14:textId="77777777" w:rsidR="00493683" w:rsidRPr="009D04F1" w:rsidRDefault="00493683" w:rsidP="00115B01">
      <w:pPr>
        <w:pStyle w:val="ListParagraph"/>
        <w:numPr>
          <w:ilvl w:val="0"/>
          <w:numId w:val="29"/>
        </w:numPr>
        <w:rPr>
          <w:rFonts w:ascii="Arial" w:hAnsi="Arial" w:cs="Arial"/>
        </w:rPr>
      </w:pPr>
      <w:r w:rsidRPr="009D04F1">
        <w:rPr>
          <w:rFonts w:ascii="Arial" w:hAnsi="Arial" w:cs="Arial"/>
        </w:rPr>
        <w:t>As a result, the PPG has doubled in size, now including people of different ages and backgrounds, including people with mental health lived experience.</w:t>
      </w:r>
    </w:p>
    <w:p w14:paraId="0306E460" w14:textId="77777777" w:rsidR="00493683" w:rsidRPr="009D04F1" w:rsidRDefault="00493683" w:rsidP="00115B01">
      <w:pPr>
        <w:pStyle w:val="ListParagraph"/>
        <w:numPr>
          <w:ilvl w:val="0"/>
          <w:numId w:val="29"/>
        </w:numPr>
        <w:rPr>
          <w:rFonts w:ascii="Arial" w:hAnsi="Arial" w:cs="Arial"/>
        </w:rPr>
      </w:pPr>
      <w:r w:rsidRPr="009D04F1">
        <w:rPr>
          <w:rFonts w:ascii="Arial" w:hAnsi="Arial" w:cs="Arial"/>
        </w:rPr>
        <w:t>The PPG now has around 140 people on its email list who are actively responding, compared with none prior to that work.</w:t>
      </w:r>
    </w:p>
    <w:p w14:paraId="3A73E51B" w14:textId="517C8BDB" w:rsidR="00493683" w:rsidRPr="009D04F1" w:rsidRDefault="00493683" w:rsidP="00115B01">
      <w:pPr>
        <w:pStyle w:val="ListParagraph"/>
        <w:numPr>
          <w:ilvl w:val="0"/>
          <w:numId w:val="29"/>
        </w:numPr>
        <w:rPr>
          <w:rFonts w:ascii="Arial" w:hAnsi="Arial" w:cs="Arial"/>
        </w:rPr>
      </w:pPr>
      <w:r w:rsidRPr="009D04F1">
        <w:rPr>
          <w:rFonts w:ascii="Arial" w:hAnsi="Arial" w:cs="Arial"/>
        </w:rPr>
        <w:t>V</w:t>
      </w:r>
      <w:r w:rsidR="00115B01" w:rsidRPr="009D04F1">
        <w:rPr>
          <w:rFonts w:ascii="Arial" w:hAnsi="Arial" w:cs="Arial"/>
        </w:rPr>
        <w:t>P</w:t>
      </w:r>
      <w:r w:rsidRPr="009D04F1">
        <w:rPr>
          <w:rFonts w:ascii="Arial" w:hAnsi="Arial" w:cs="Arial"/>
        </w:rPr>
        <w:t xml:space="preserve"> thanked Ian and the Network for the support and shared learning, noting the practical value for her practice.</w:t>
      </w:r>
    </w:p>
    <w:p w14:paraId="0B29196D" w14:textId="1EC06383" w:rsidR="00493683" w:rsidRPr="009D04F1" w:rsidRDefault="00115B01" w:rsidP="00493683">
      <w:pPr>
        <w:rPr>
          <w:rFonts w:ascii="Arial" w:hAnsi="Arial" w:cs="Arial"/>
          <w:b/>
          <w:bCs/>
        </w:rPr>
      </w:pPr>
      <w:r w:rsidRPr="009D04F1">
        <w:rPr>
          <w:rFonts w:ascii="Arial" w:hAnsi="Arial" w:cs="Arial"/>
          <w:b/>
          <w:bCs/>
        </w:rPr>
        <w:t>Value of the PPG Network</w:t>
      </w:r>
    </w:p>
    <w:p w14:paraId="7CAA7D0E" w14:textId="3CFFC1BC" w:rsidR="00115B01" w:rsidRPr="009D04F1" w:rsidRDefault="00115B01" w:rsidP="00115B01">
      <w:pPr>
        <w:pStyle w:val="ListParagraph"/>
        <w:numPr>
          <w:ilvl w:val="0"/>
          <w:numId w:val="31"/>
        </w:numPr>
        <w:rPr>
          <w:rFonts w:ascii="Arial" w:hAnsi="Arial" w:cs="Arial"/>
        </w:rPr>
      </w:pPr>
      <w:r w:rsidRPr="009D04F1">
        <w:rPr>
          <w:rFonts w:ascii="Arial" w:hAnsi="Arial" w:cs="Arial"/>
        </w:rPr>
        <w:t xml:space="preserve">Members reflected on the value of the PPG Network as a space for sharing learning, building confidence, and strengthening the effectiveness of local PPGs. It was noted that having a regular, facilitated forum has helped PPGs to: </w:t>
      </w:r>
    </w:p>
    <w:p w14:paraId="338C8284" w14:textId="77777777" w:rsidR="00115B01" w:rsidRPr="009D04F1" w:rsidRDefault="00115B01" w:rsidP="00115B01">
      <w:pPr>
        <w:pStyle w:val="ListParagraph"/>
        <w:numPr>
          <w:ilvl w:val="0"/>
          <w:numId w:val="32"/>
        </w:numPr>
        <w:rPr>
          <w:rFonts w:ascii="Arial" w:hAnsi="Arial" w:cs="Arial"/>
        </w:rPr>
      </w:pPr>
      <w:r w:rsidRPr="009D04F1">
        <w:rPr>
          <w:rFonts w:ascii="Arial" w:hAnsi="Arial" w:cs="Arial"/>
        </w:rPr>
        <w:t>Learn from each other’s experience</w:t>
      </w:r>
    </w:p>
    <w:p w14:paraId="3077D08E" w14:textId="77777777" w:rsidR="00115B01" w:rsidRPr="009D04F1" w:rsidRDefault="00115B01" w:rsidP="00115B01">
      <w:pPr>
        <w:pStyle w:val="ListParagraph"/>
        <w:numPr>
          <w:ilvl w:val="0"/>
          <w:numId w:val="32"/>
        </w:numPr>
        <w:rPr>
          <w:rFonts w:ascii="Arial" w:hAnsi="Arial" w:cs="Arial"/>
        </w:rPr>
      </w:pPr>
      <w:r w:rsidRPr="009D04F1">
        <w:rPr>
          <w:rFonts w:ascii="Arial" w:hAnsi="Arial" w:cs="Arial"/>
        </w:rPr>
        <w:t>Develop more effective engagement approaches within their own practices</w:t>
      </w:r>
    </w:p>
    <w:p w14:paraId="7C33AFB6" w14:textId="5A996456" w:rsidR="009D04F1" w:rsidRPr="009D04F1" w:rsidRDefault="00115B01" w:rsidP="009D04F1">
      <w:pPr>
        <w:pStyle w:val="ListParagraph"/>
        <w:numPr>
          <w:ilvl w:val="0"/>
          <w:numId w:val="32"/>
        </w:numPr>
        <w:rPr>
          <w:rFonts w:ascii="Arial" w:hAnsi="Arial" w:cs="Arial"/>
        </w:rPr>
      </w:pPr>
      <w:r w:rsidRPr="009D04F1">
        <w:rPr>
          <w:rFonts w:ascii="Arial" w:hAnsi="Arial" w:cs="Arial"/>
        </w:rPr>
        <w:t>Feel more connected and supported as part of a wider system</w:t>
      </w:r>
    </w:p>
    <w:p w14:paraId="6423979F" w14:textId="77777777" w:rsidR="009D04F1" w:rsidRPr="009D04F1" w:rsidRDefault="00115B01" w:rsidP="00115B01">
      <w:pPr>
        <w:pStyle w:val="ListParagraph"/>
        <w:numPr>
          <w:ilvl w:val="0"/>
          <w:numId w:val="31"/>
        </w:numPr>
        <w:rPr>
          <w:rFonts w:ascii="Arial" w:hAnsi="Arial" w:cs="Arial"/>
        </w:rPr>
      </w:pPr>
      <w:r w:rsidRPr="009D04F1">
        <w:rPr>
          <w:rFonts w:ascii="Arial" w:hAnsi="Arial" w:cs="Arial"/>
        </w:rPr>
        <w:t xml:space="preserve">Members expressed appreciation for the ongoing coordination and facilitation of the Network, which has enabled collaboration to be maintained during a period of significant change and uncertainty in primary care. </w:t>
      </w:r>
    </w:p>
    <w:p w14:paraId="50375B53" w14:textId="024A6A15" w:rsidR="00115B01" w:rsidRPr="009D04F1" w:rsidRDefault="00115B01" w:rsidP="00493683">
      <w:pPr>
        <w:pStyle w:val="ListParagraph"/>
        <w:numPr>
          <w:ilvl w:val="0"/>
          <w:numId w:val="31"/>
        </w:numPr>
        <w:rPr>
          <w:rFonts w:ascii="Arial" w:hAnsi="Arial" w:cs="Arial"/>
        </w:rPr>
      </w:pPr>
      <w:r w:rsidRPr="009D04F1">
        <w:rPr>
          <w:rFonts w:ascii="Arial" w:hAnsi="Arial" w:cs="Arial"/>
        </w:rPr>
        <w:t>It was suggested that a short collective note capturing this feedback could be drafted on behalf of the Network.</w:t>
      </w:r>
    </w:p>
    <w:p w14:paraId="3C85BD68" w14:textId="77777777" w:rsidR="00115B01" w:rsidRPr="00493683" w:rsidRDefault="00115B01" w:rsidP="00115B01">
      <w:pPr>
        <w:rPr>
          <w:rFonts w:ascii="Arial" w:hAnsi="Arial" w:cs="Arial"/>
          <w:b/>
          <w:bCs/>
        </w:rPr>
      </w:pPr>
      <w:r w:rsidRPr="00493683">
        <w:rPr>
          <w:rFonts w:ascii="Arial" w:hAnsi="Arial" w:cs="Arial"/>
          <w:b/>
          <w:bCs/>
        </w:rPr>
        <w:t>Actions / Next Steps</w:t>
      </w:r>
    </w:p>
    <w:p w14:paraId="71C02189" w14:textId="77777777" w:rsidR="00115B01" w:rsidRPr="009D04F1" w:rsidRDefault="00115B01" w:rsidP="009D04F1">
      <w:pPr>
        <w:pStyle w:val="ListParagraph"/>
        <w:numPr>
          <w:ilvl w:val="0"/>
          <w:numId w:val="34"/>
        </w:numPr>
        <w:rPr>
          <w:rFonts w:ascii="Arial" w:hAnsi="Arial" w:cs="Arial"/>
        </w:rPr>
      </w:pPr>
      <w:r w:rsidRPr="009D04F1">
        <w:rPr>
          <w:rFonts w:ascii="Arial" w:hAnsi="Arial" w:cs="Arial"/>
        </w:rPr>
        <w:t>Ashgate Hospice correspondence and response to be shared with Network members.</w:t>
      </w:r>
    </w:p>
    <w:p w14:paraId="34317DC7" w14:textId="74D8189D" w:rsidR="00115B01" w:rsidRPr="009D04F1" w:rsidRDefault="00115B01" w:rsidP="009D04F1">
      <w:pPr>
        <w:pStyle w:val="ListParagraph"/>
        <w:numPr>
          <w:ilvl w:val="0"/>
          <w:numId w:val="34"/>
        </w:numPr>
        <w:rPr>
          <w:rFonts w:ascii="Arial" w:hAnsi="Arial" w:cs="Arial"/>
        </w:rPr>
      </w:pPr>
      <w:r w:rsidRPr="009D04F1">
        <w:rPr>
          <w:rFonts w:ascii="Arial" w:hAnsi="Arial" w:cs="Arial"/>
        </w:rPr>
        <w:t>Consider inviting a Primary Care colleague to a future meeting for Q&amp;A</w:t>
      </w:r>
      <w:r w:rsidR="009D04F1" w:rsidRPr="009D04F1">
        <w:rPr>
          <w:rFonts w:ascii="Arial" w:hAnsi="Arial" w:cs="Arial"/>
        </w:rPr>
        <w:t xml:space="preserve"> on the GP Contract 26/27</w:t>
      </w:r>
      <w:r w:rsidRPr="009D04F1">
        <w:rPr>
          <w:rFonts w:ascii="Arial" w:hAnsi="Arial" w:cs="Arial"/>
        </w:rPr>
        <w:t xml:space="preserve"> (with questions gathered in advance).</w:t>
      </w:r>
    </w:p>
    <w:p w14:paraId="69B316C7" w14:textId="77777777" w:rsidR="00115B01" w:rsidRPr="009D04F1" w:rsidRDefault="00115B01" w:rsidP="009D04F1">
      <w:pPr>
        <w:pStyle w:val="ListParagraph"/>
        <w:numPr>
          <w:ilvl w:val="0"/>
          <w:numId w:val="34"/>
        </w:numPr>
        <w:rPr>
          <w:rFonts w:ascii="Arial" w:hAnsi="Arial" w:cs="Arial"/>
        </w:rPr>
      </w:pPr>
      <w:r w:rsidRPr="009D04F1">
        <w:rPr>
          <w:rFonts w:ascii="Arial" w:hAnsi="Arial" w:cs="Arial"/>
        </w:rPr>
        <w:t>Explore scope for PPG Network working groups on access and continuity of care.</w:t>
      </w:r>
    </w:p>
    <w:p w14:paraId="0B24C14C" w14:textId="0BF46225" w:rsidR="009D04F1" w:rsidRPr="009D04F1" w:rsidRDefault="00115B01" w:rsidP="009D04F1">
      <w:pPr>
        <w:pStyle w:val="ListParagraph"/>
        <w:numPr>
          <w:ilvl w:val="0"/>
          <w:numId w:val="34"/>
        </w:numPr>
        <w:rPr>
          <w:rFonts w:ascii="Arial" w:hAnsi="Arial" w:cs="Arial"/>
        </w:rPr>
      </w:pPr>
      <w:r w:rsidRPr="009D04F1">
        <w:rPr>
          <w:rFonts w:ascii="Arial" w:hAnsi="Arial" w:cs="Arial"/>
        </w:rPr>
        <w:t xml:space="preserve">ICB to explore and respond on: </w:t>
      </w:r>
    </w:p>
    <w:p w14:paraId="72755829" w14:textId="77777777" w:rsidR="00115B01" w:rsidRPr="009D04F1" w:rsidRDefault="00115B01" w:rsidP="009D04F1">
      <w:pPr>
        <w:pStyle w:val="ListParagraph"/>
        <w:numPr>
          <w:ilvl w:val="1"/>
          <w:numId w:val="33"/>
        </w:numPr>
        <w:rPr>
          <w:rFonts w:ascii="Arial" w:hAnsi="Arial" w:cs="Arial"/>
        </w:rPr>
      </w:pPr>
      <w:r w:rsidRPr="009D04F1">
        <w:rPr>
          <w:rFonts w:ascii="Arial" w:hAnsi="Arial" w:cs="Arial"/>
        </w:rPr>
        <w:t>Use of access systems (e.g. Rapid Health) across Derby and Derbyshire.</w:t>
      </w:r>
    </w:p>
    <w:p w14:paraId="6125647E" w14:textId="77777777" w:rsidR="00477029" w:rsidRPr="009D04F1" w:rsidRDefault="00477029">
      <w:pPr>
        <w:rPr>
          <w:rFonts w:ascii="Arial" w:hAnsi="Arial" w:cs="Arial"/>
        </w:rPr>
      </w:pPr>
    </w:p>
    <w:sectPr w:rsidR="00477029" w:rsidRPr="009D04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1649"/>
    <w:multiLevelType w:val="multilevel"/>
    <w:tmpl w:val="768C428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E5212CC"/>
    <w:multiLevelType w:val="multilevel"/>
    <w:tmpl w:val="880819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F3CED"/>
    <w:multiLevelType w:val="multilevel"/>
    <w:tmpl w:val="3F5AE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504B7"/>
    <w:multiLevelType w:val="multilevel"/>
    <w:tmpl w:val="4380E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B7201"/>
    <w:multiLevelType w:val="multilevel"/>
    <w:tmpl w:val="DAA4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760370"/>
    <w:multiLevelType w:val="multilevel"/>
    <w:tmpl w:val="2FCAB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876978"/>
    <w:multiLevelType w:val="multilevel"/>
    <w:tmpl w:val="0E506C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012E51"/>
    <w:multiLevelType w:val="multilevel"/>
    <w:tmpl w:val="2CA07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D77420"/>
    <w:multiLevelType w:val="multilevel"/>
    <w:tmpl w:val="8228C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7E460F"/>
    <w:multiLevelType w:val="multilevel"/>
    <w:tmpl w:val="BDF2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DB3BAB"/>
    <w:multiLevelType w:val="multilevel"/>
    <w:tmpl w:val="977E6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B42424"/>
    <w:multiLevelType w:val="multilevel"/>
    <w:tmpl w:val="880819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7A2501"/>
    <w:multiLevelType w:val="multilevel"/>
    <w:tmpl w:val="8A3E1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26072A"/>
    <w:multiLevelType w:val="multilevel"/>
    <w:tmpl w:val="2C40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637E07"/>
    <w:multiLevelType w:val="multilevel"/>
    <w:tmpl w:val="880819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3C3C09"/>
    <w:multiLevelType w:val="multilevel"/>
    <w:tmpl w:val="D1B4A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841A01"/>
    <w:multiLevelType w:val="multilevel"/>
    <w:tmpl w:val="768C428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3FB11BBE"/>
    <w:multiLevelType w:val="multilevel"/>
    <w:tmpl w:val="C8EED81C"/>
    <w:lvl w:ilvl="0">
      <w:start w:val="1"/>
      <w:numFmt w:val="decimal"/>
      <w:lvlText w:val="%1."/>
      <w:lvlJc w:val="left"/>
      <w:pPr>
        <w:tabs>
          <w:tab w:val="num" w:pos="1440"/>
        </w:tabs>
        <w:ind w:left="1440" w:hanging="360"/>
      </w:pPr>
      <w:rPr>
        <w:rFonts w:hint="default"/>
        <w:sz w:val="20"/>
      </w:rPr>
    </w:lvl>
    <w:lvl w:ilvl="1">
      <w:start w:val="1"/>
      <w:numFmt w:val="bullet"/>
      <w:lvlText w:val=""/>
      <w:lvlJc w:val="left"/>
      <w:pPr>
        <w:ind w:left="2160" w:hanging="360"/>
      </w:pPr>
      <w:rPr>
        <w:rFonts w:ascii="Wingdings" w:hAnsi="Wingdings"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8" w15:restartNumberingAfterBreak="0">
    <w:nsid w:val="48B87B15"/>
    <w:multiLevelType w:val="multilevel"/>
    <w:tmpl w:val="63BEF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CB324B"/>
    <w:multiLevelType w:val="multilevel"/>
    <w:tmpl w:val="880819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C10576"/>
    <w:multiLevelType w:val="multilevel"/>
    <w:tmpl w:val="418A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8C609A"/>
    <w:multiLevelType w:val="multilevel"/>
    <w:tmpl w:val="880819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0B2BB0"/>
    <w:multiLevelType w:val="multilevel"/>
    <w:tmpl w:val="0E506C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3F5944"/>
    <w:multiLevelType w:val="multilevel"/>
    <w:tmpl w:val="C8EED81C"/>
    <w:lvl w:ilvl="0">
      <w:start w:val="1"/>
      <w:numFmt w:val="decimal"/>
      <w:lvlText w:val="%1."/>
      <w:lvlJc w:val="left"/>
      <w:pPr>
        <w:tabs>
          <w:tab w:val="num" w:pos="1080"/>
        </w:tabs>
        <w:ind w:left="1080" w:hanging="360"/>
      </w:pPr>
      <w:rPr>
        <w:rFonts w:hint="default"/>
        <w:sz w:val="20"/>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66785698"/>
    <w:multiLevelType w:val="multilevel"/>
    <w:tmpl w:val="9F70F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AE1CC9"/>
    <w:multiLevelType w:val="multilevel"/>
    <w:tmpl w:val="880819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3C0825"/>
    <w:multiLevelType w:val="multilevel"/>
    <w:tmpl w:val="49AA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C538ED"/>
    <w:multiLevelType w:val="multilevel"/>
    <w:tmpl w:val="19B8F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EC3A2F"/>
    <w:multiLevelType w:val="multilevel"/>
    <w:tmpl w:val="880819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562126"/>
    <w:multiLevelType w:val="multilevel"/>
    <w:tmpl w:val="1D34A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B34B8C"/>
    <w:multiLevelType w:val="multilevel"/>
    <w:tmpl w:val="1D34A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BD0C77"/>
    <w:multiLevelType w:val="multilevel"/>
    <w:tmpl w:val="A5982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BE6A1A"/>
    <w:multiLevelType w:val="multilevel"/>
    <w:tmpl w:val="48FA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2B7239"/>
    <w:multiLevelType w:val="multilevel"/>
    <w:tmpl w:val="C8EED81C"/>
    <w:lvl w:ilvl="0">
      <w:start w:val="1"/>
      <w:numFmt w:val="decimal"/>
      <w:lvlText w:val="%1."/>
      <w:lvlJc w:val="left"/>
      <w:pPr>
        <w:tabs>
          <w:tab w:val="num" w:pos="720"/>
        </w:tabs>
        <w:ind w:left="720" w:hanging="360"/>
      </w:pPr>
      <w:rPr>
        <w:rFonts w:hint="default"/>
        <w:sz w:val="20"/>
      </w:rPr>
    </w:lvl>
    <w:lvl w:ilvl="1">
      <w:start w:val="1"/>
      <w:numFmt w:val="bullet"/>
      <w:lvlText w:val=""/>
      <w:lvlJc w:val="left"/>
      <w:pPr>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4449889">
    <w:abstractNumId w:val="30"/>
  </w:num>
  <w:num w:numId="2" w16cid:durableId="1832402426">
    <w:abstractNumId w:val="26"/>
  </w:num>
  <w:num w:numId="3" w16cid:durableId="1713454935">
    <w:abstractNumId w:val="27"/>
  </w:num>
  <w:num w:numId="4" w16cid:durableId="267086660">
    <w:abstractNumId w:val="15"/>
  </w:num>
  <w:num w:numId="5" w16cid:durableId="1934315936">
    <w:abstractNumId w:val="20"/>
  </w:num>
  <w:num w:numId="6" w16cid:durableId="882403992">
    <w:abstractNumId w:val="7"/>
  </w:num>
  <w:num w:numId="7" w16cid:durableId="385180402">
    <w:abstractNumId w:val="3"/>
  </w:num>
  <w:num w:numId="8" w16cid:durableId="852308468">
    <w:abstractNumId w:val="5"/>
  </w:num>
  <w:num w:numId="9" w16cid:durableId="294794921">
    <w:abstractNumId w:val="2"/>
  </w:num>
  <w:num w:numId="10" w16cid:durableId="1677338935">
    <w:abstractNumId w:val="9"/>
  </w:num>
  <w:num w:numId="11" w16cid:durableId="135924170">
    <w:abstractNumId w:val="24"/>
  </w:num>
  <w:num w:numId="12" w16cid:durableId="1148746191">
    <w:abstractNumId w:val="13"/>
  </w:num>
  <w:num w:numId="13" w16cid:durableId="1330254878">
    <w:abstractNumId w:val="18"/>
  </w:num>
  <w:num w:numId="14" w16cid:durableId="241841229">
    <w:abstractNumId w:val="32"/>
  </w:num>
  <w:num w:numId="15" w16cid:durableId="2116747863">
    <w:abstractNumId w:val="10"/>
  </w:num>
  <w:num w:numId="16" w16cid:durableId="2075154020">
    <w:abstractNumId w:val="8"/>
  </w:num>
  <w:num w:numId="17" w16cid:durableId="1289975189">
    <w:abstractNumId w:val="31"/>
  </w:num>
  <w:num w:numId="18" w16cid:durableId="1706632685">
    <w:abstractNumId w:val="4"/>
  </w:num>
  <w:num w:numId="19" w16cid:durableId="1362977110">
    <w:abstractNumId w:val="29"/>
  </w:num>
  <w:num w:numId="20" w16cid:durableId="1484738726">
    <w:abstractNumId w:val="23"/>
  </w:num>
  <w:num w:numId="21" w16cid:durableId="1505053932">
    <w:abstractNumId w:val="28"/>
  </w:num>
  <w:num w:numId="22" w16cid:durableId="1006640985">
    <w:abstractNumId w:val="21"/>
  </w:num>
  <w:num w:numId="23" w16cid:durableId="587226766">
    <w:abstractNumId w:val="12"/>
  </w:num>
  <w:num w:numId="24" w16cid:durableId="1141581175">
    <w:abstractNumId w:val="1"/>
  </w:num>
  <w:num w:numId="25" w16cid:durableId="118959778">
    <w:abstractNumId w:val="11"/>
  </w:num>
  <w:num w:numId="26" w16cid:durableId="1459907840">
    <w:abstractNumId w:val="25"/>
  </w:num>
  <w:num w:numId="27" w16cid:durableId="1273438852">
    <w:abstractNumId w:val="19"/>
  </w:num>
  <w:num w:numId="28" w16cid:durableId="1821337257">
    <w:abstractNumId w:val="14"/>
  </w:num>
  <w:num w:numId="29" w16cid:durableId="629166843">
    <w:abstractNumId w:val="0"/>
  </w:num>
  <w:num w:numId="30" w16cid:durableId="1190685597">
    <w:abstractNumId w:val="33"/>
  </w:num>
  <w:num w:numId="31" w16cid:durableId="1649169528">
    <w:abstractNumId w:val="16"/>
  </w:num>
  <w:num w:numId="32" w16cid:durableId="404646963">
    <w:abstractNumId w:val="17"/>
  </w:num>
  <w:num w:numId="33" w16cid:durableId="1571648983">
    <w:abstractNumId w:val="6"/>
  </w:num>
  <w:num w:numId="34" w16cid:durableId="86910498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683"/>
    <w:rsid w:val="00110745"/>
    <w:rsid w:val="00115B01"/>
    <w:rsid w:val="001A4CEF"/>
    <w:rsid w:val="002D01C1"/>
    <w:rsid w:val="003378BB"/>
    <w:rsid w:val="00477029"/>
    <w:rsid w:val="00493683"/>
    <w:rsid w:val="004B2A12"/>
    <w:rsid w:val="009D04F1"/>
    <w:rsid w:val="009E4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701A2"/>
  <w15:chartTrackingRefBased/>
  <w15:docId w15:val="{AF9508D7-BE4D-4F1C-A287-DD0A6DFBB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36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36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36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36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36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36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6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6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6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6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36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36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36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36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36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6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6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683"/>
    <w:rPr>
      <w:rFonts w:eastAsiaTheme="majorEastAsia" w:cstheme="majorBidi"/>
      <w:color w:val="272727" w:themeColor="text1" w:themeTint="D8"/>
    </w:rPr>
  </w:style>
  <w:style w:type="paragraph" w:styleId="Title">
    <w:name w:val="Title"/>
    <w:basedOn w:val="Normal"/>
    <w:next w:val="Normal"/>
    <w:link w:val="TitleChar"/>
    <w:uiPriority w:val="10"/>
    <w:qFormat/>
    <w:rsid w:val="004936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6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6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6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683"/>
    <w:pPr>
      <w:spacing w:before="160"/>
      <w:jc w:val="center"/>
    </w:pPr>
    <w:rPr>
      <w:i/>
      <w:iCs/>
      <w:color w:val="404040" w:themeColor="text1" w:themeTint="BF"/>
    </w:rPr>
  </w:style>
  <w:style w:type="character" w:customStyle="1" w:styleId="QuoteChar">
    <w:name w:val="Quote Char"/>
    <w:basedOn w:val="DefaultParagraphFont"/>
    <w:link w:val="Quote"/>
    <w:uiPriority w:val="29"/>
    <w:rsid w:val="00493683"/>
    <w:rPr>
      <w:i/>
      <w:iCs/>
      <w:color w:val="404040" w:themeColor="text1" w:themeTint="BF"/>
    </w:rPr>
  </w:style>
  <w:style w:type="paragraph" w:styleId="ListParagraph">
    <w:name w:val="List Paragraph"/>
    <w:basedOn w:val="Normal"/>
    <w:uiPriority w:val="34"/>
    <w:qFormat/>
    <w:rsid w:val="00493683"/>
    <w:pPr>
      <w:ind w:left="720"/>
      <w:contextualSpacing/>
    </w:pPr>
  </w:style>
  <w:style w:type="character" w:styleId="IntenseEmphasis">
    <w:name w:val="Intense Emphasis"/>
    <w:basedOn w:val="DefaultParagraphFont"/>
    <w:uiPriority w:val="21"/>
    <w:qFormat/>
    <w:rsid w:val="00493683"/>
    <w:rPr>
      <w:i/>
      <w:iCs/>
      <w:color w:val="0F4761" w:themeColor="accent1" w:themeShade="BF"/>
    </w:rPr>
  </w:style>
  <w:style w:type="paragraph" w:styleId="IntenseQuote">
    <w:name w:val="Intense Quote"/>
    <w:basedOn w:val="Normal"/>
    <w:next w:val="Normal"/>
    <w:link w:val="IntenseQuoteChar"/>
    <w:uiPriority w:val="30"/>
    <w:qFormat/>
    <w:rsid w:val="004936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3683"/>
    <w:rPr>
      <w:i/>
      <w:iCs/>
      <w:color w:val="0F4761" w:themeColor="accent1" w:themeShade="BF"/>
    </w:rPr>
  </w:style>
  <w:style w:type="character" w:styleId="IntenseReference">
    <w:name w:val="Intense Reference"/>
    <w:basedOn w:val="DefaultParagraphFont"/>
    <w:uiPriority w:val="32"/>
    <w:qFormat/>
    <w:rsid w:val="004936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1171</Words>
  <Characters>5717</Characters>
  <Application>Microsoft Office Word</Application>
  <DocSecurity>0</DocSecurity>
  <Lines>519</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MORTON, Hannah (NHS DERBY AND DERBYSHIRE ICB - 15M)</dc:creator>
  <cp:keywords/>
  <dc:description/>
  <cp:lastModifiedBy>MORTON, Hannah (NHS DERBY AND DERBYSHIRE ICB - 15M)</cp:lastModifiedBy>
  <cp:revision>1</cp:revision>
  <dcterms:created xsi:type="dcterms:W3CDTF">2026-03-31T08:53:00Z</dcterms:created>
  <dcterms:modified xsi:type="dcterms:W3CDTF">2026-03-31T09:17:00Z</dcterms:modified>
</cp:coreProperties>
</file>