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05D5F" w14:textId="0F15FFF0" w:rsidR="00C532AF" w:rsidRDefault="00C532AF" w:rsidP="00C532AF">
      <w:pPr>
        <w:jc w:val="center"/>
        <w:rPr>
          <w:rFonts w:ascii="Arial" w:hAnsi="Arial" w:cs="Arial"/>
          <w:b/>
          <w:bCs/>
          <w:sz w:val="28"/>
          <w:szCs w:val="28"/>
        </w:rPr>
        <w:sectPr w:rsidR="00C532AF" w:rsidSect="00C532AF">
          <w:headerReference w:type="default" r:id="rId7"/>
          <w:pgSz w:w="11906" w:h="16838"/>
          <w:pgMar w:top="720" w:right="720" w:bottom="720" w:left="720" w:header="283" w:footer="57" w:gutter="0"/>
          <w:cols w:space="708"/>
          <w:docGrid w:linePitch="360"/>
        </w:sectPr>
      </w:pPr>
      <w:r w:rsidRPr="002356A0">
        <w:rPr>
          <w:rFonts w:ascii="Arial" w:hAnsi="Arial" w:cs="Arial"/>
          <w:noProof/>
        </w:rPr>
        <w:drawing>
          <wp:anchor distT="0" distB="0" distL="114300" distR="114300" simplePos="0" relativeHeight="251659264" behindDoc="1" locked="0" layoutInCell="1" allowOverlap="1" wp14:anchorId="4D8EB265" wp14:editId="12721DBC">
            <wp:simplePos x="0" y="0"/>
            <wp:positionH relativeFrom="margin">
              <wp:posOffset>100330</wp:posOffset>
            </wp:positionH>
            <wp:positionV relativeFrom="paragraph">
              <wp:posOffset>451675</wp:posOffset>
            </wp:positionV>
            <wp:extent cx="6648450" cy="296545"/>
            <wp:effectExtent l="0" t="0" r="0" b="8255"/>
            <wp:wrapTight wrapText="bothSides">
              <wp:wrapPolygon edited="0">
                <wp:start x="0" y="0"/>
                <wp:lineTo x="0" y="20814"/>
                <wp:lineTo x="21538" y="20814"/>
                <wp:lineTo x="21538" y="0"/>
                <wp:lineTo x="0" y="0"/>
              </wp:wrapPolygon>
            </wp:wrapTight>
            <wp:docPr id="835094897" name="Picture 3" descr="A rainbow flag with multiple strip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094897" name="Picture 3" descr="A rainbow flag with multiple stripes&#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48450" cy="2965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2AF">
        <w:rPr>
          <w:rFonts w:ascii="Arial" w:hAnsi="Arial" w:cs="Arial"/>
          <w:b/>
          <w:bCs/>
          <w:sz w:val="28"/>
          <w:szCs w:val="28"/>
        </w:rPr>
        <w:t xml:space="preserve">GPwER: </w:t>
      </w:r>
      <w:r w:rsidRPr="00C532AF">
        <w:rPr>
          <w:rFonts w:ascii="Arial" w:hAnsi="Arial" w:cs="Arial"/>
          <w:sz w:val="28"/>
          <w:szCs w:val="28"/>
        </w:rPr>
        <w:t>Care and management of adult patients with Gender Dysphoria / Gender Incongruence in Primary Care</w:t>
      </w:r>
    </w:p>
    <w:p w14:paraId="6579E32B" w14:textId="10D024F7" w:rsidR="00C532AF" w:rsidRPr="00C532AF" w:rsidRDefault="00C532AF" w:rsidP="00C532AF">
      <w:pPr>
        <w:spacing w:after="0" w:line="240" w:lineRule="auto"/>
        <w:rPr>
          <w:rFonts w:ascii="Arial" w:hAnsi="Arial" w:cs="Arial"/>
          <w:b/>
          <w:bCs/>
          <w:color w:val="0070C0"/>
        </w:rPr>
      </w:pPr>
      <w:r w:rsidRPr="00C532AF">
        <w:rPr>
          <w:rFonts w:ascii="Arial" w:hAnsi="Arial" w:cs="Arial"/>
          <w:b/>
          <w:bCs/>
          <w:color w:val="0070C0"/>
        </w:rPr>
        <w:t>What is Gender Dysphoria / Gender Incongruence?</w:t>
      </w:r>
    </w:p>
    <w:p w14:paraId="100CD618" w14:textId="2A037573" w:rsidR="00C532AF" w:rsidRPr="00C532AF" w:rsidRDefault="00C532AF" w:rsidP="00C532AF">
      <w:pPr>
        <w:spacing w:after="0" w:line="240" w:lineRule="auto"/>
        <w:rPr>
          <w:rFonts w:ascii="Arial" w:hAnsi="Arial" w:cs="Arial"/>
          <w:sz w:val="22"/>
          <w:szCs w:val="22"/>
        </w:rPr>
      </w:pPr>
      <w:r w:rsidRPr="00C532AF">
        <w:rPr>
          <w:rFonts w:ascii="Arial" w:hAnsi="Arial" w:cs="Arial"/>
          <w:i/>
          <w:iCs/>
          <w:sz w:val="22"/>
          <w:szCs w:val="22"/>
        </w:rPr>
        <w:t xml:space="preserve">"Gender </w:t>
      </w:r>
      <w:r>
        <w:rPr>
          <w:rFonts w:ascii="Arial" w:hAnsi="Arial" w:cs="Arial"/>
          <w:i/>
          <w:iCs/>
          <w:sz w:val="22"/>
          <w:szCs w:val="22"/>
        </w:rPr>
        <w:t>D</w:t>
      </w:r>
      <w:r w:rsidRPr="00C532AF">
        <w:rPr>
          <w:rFonts w:ascii="Arial" w:hAnsi="Arial" w:cs="Arial"/>
          <w:i/>
          <w:iCs/>
          <w:sz w:val="22"/>
          <w:szCs w:val="22"/>
        </w:rPr>
        <w:t xml:space="preserve">ysphoria is a term that describes a sense of unease that a person may have because of a mismatch between their biological sex and their gender identity." </w:t>
      </w:r>
      <w:r w:rsidRPr="00C532AF">
        <w:rPr>
          <w:rFonts w:ascii="Arial" w:hAnsi="Arial" w:cs="Arial"/>
          <w:sz w:val="22"/>
          <w:szCs w:val="22"/>
        </w:rPr>
        <w:t>(NHS UK)</w:t>
      </w:r>
      <w:r w:rsidRPr="00C532AF">
        <w:rPr>
          <w:rFonts w:ascii="Arial" w:hAnsi="Arial" w:cs="Arial"/>
          <w:i/>
          <w:iCs/>
          <w:sz w:val="22"/>
          <w:szCs w:val="22"/>
        </w:rPr>
        <w:t>.</w:t>
      </w:r>
    </w:p>
    <w:p w14:paraId="1B84B8E1" w14:textId="77777777" w:rsidR="00C532AF" w:rsidRPr="00C532AF" w:rsidRDefault="00C532AF" w:rsidP="00C532AF">
      <w:pPr>
        <w:spacing w:after="0" w:line="240" w:lineRule="auto"/>
        <w:rPr>
          <w:rFonts w:ascii="Arial" w:hAnsi="Arial" w:cs="Arial"/>
          <w:b/>
          <w:bCs/>
          <w:color w:val="0070C0"/>
          <w:sz w:val="12"/>
          <w:szCs w:val="12"/>
        </w:rPr>
      </w:pPr>
    </w:p>
    <w:p w14:paraId="52D71DBC" w14:textId="77777777" w:rsidR="00C532AF" w:rsidRPr="00C532AF" w:rsidRDefault="00C532AF" w:rsidP="00C532AF">
      <w:pPr>
        <w:spacing w:after="0" w:line="240" w:lineRule="auto"/>
        <w:rPr>
          <w:rFonts w:ascii="Arial" w:hAnsi="Arial" w:cs="Arial"/>
          <w:b/>
          <w:bCs/>
          <w:color w:val="0070C0"/>
        </w:rPr>
      </w:pPr>
      <w:r w:rsidRPr="00C532AF">
        <w:rPr>
          <w:rFonts w:ascii="Arial" w:hAnsi="Arial" w:cs="Arial"/>
          <w:b/>
          <w:bCs/>
          <w:color w:val="0070C0"/>
        </w:rPr>
        <w:t>What is the purpose of this service?</w:t>
      </w:r>
    </w:p>
    <w:p w14:paraId="219C8E3D" w14:textId="583191DD" w:rsidR="00C532AF" w:rsidRPr="00C532AF" w:rsidRDefault="00C532AF" w:rsidP="00C532AF">
      <w:pPr>
        <w:spacing w:after="0" w:line="240" w:lineRule="auto"/>
        <w:rPr>
          <w:rFonts w:ascii="Arial" w:hAnsi="Arial" w:cs="Arial"/>
          <w:sz w:val="22"/>
          <w:szCs w:val="22"/>
        </w:rPr>
      </w:pPr>
      <w:r w:rsidRPr="00C532AF">
        <w:rPr>
          <w:rFonts w:ascii="Arial" w:hAnsi="Arial" w:cs="Arial"/>
          <w:sz w:val="22"/>
          <w:szCs w:val="22"/>
        </w:rPr>
        <w:t>The service aims to provide safe, effective, and locally accessible care and management for</w:t>
      </w:r>
      <w:r>
        <w:rPr>
          <w:rFonts w:ascii="Arial" w:hAnsi="Arial" w:cs="Arial"/>
          <w:sz w:val="22"/>
          <w:szCs w:val="22"/>
        </w:rPr>
        <w:t xml:space="preserve"> </w:t>
      </w:r>
      <w:r w:rsidRPr="00C532AF">
        <w:rPr>
          <w:rFonts w:ascii="Arial" w:hAnsi="Arial" w:cs="Arial"/>
          <w:sz w:val="22"/>
          <w:szCs w:val="22"/>
        </w:rPr>
        <w:t>patients 18 year</w:t>
      </w:r>
      <w:r w:rsidRPr="00C532AF">
        <w:rPr>
          <w:rFonts w:ascii="Arial" w:hAnsi="Arial" w:cs="Arial"/>
          <w:sz w:val="22"/>
          <w:szCs w:val="22"/>
        </w:rPr>
        <w:t>s+</w:t>
      </w:r>
      <w:r w:rsidRPr="00C532AF">
        <w:rPr>
          <w:rFonts w:ascii="Arial" w:hAnsi="Arial" w:cs="Arial"/>
          <w:sz w:val="22"/>
          <w:szCs w:val="22"/>
        </w:rPr>
        <w:t xml:space="preserve"> experiencing Gender Dysphoria </w:t>
      </w:r>
      <w:r>
        <w:rPr>
          <w:rFonts w:ascii="Arial" w:hAnsi="Arial" w:cs="Arial"/>
          <w:sz w:val="22"/>
          <w:szCs w:val="22"/>
        </w:rPr>
        <w:t>/</w:t>
      </w:r>
      <w:r w:rsidRPr="00C532AF">
        <w:rPr>
          <w:rFonts w:ascii="Arial" w:hAnsi="Arial" w:cs="Arial"/>
          <w:sz w:val="22"/>
          <w:szCs w:val="22"/>
        </w:rPr>
        <w:t xml:space="preserve"> Gender Incongruenc</w:t>
      </w:r>
      <w:r>
        <w:rPr>
          <w:rFonts w:ascii="Arial" w:hAnsi="Arial" w:cs="Arial"/>
          <w:sz w:val="22"/>
          <w:szCs w:val="22"/>
        </w:rPr>
        <w:t>e</w:t>
      </w:r>
      <w:r w:rsidRPr="00C532AF">
        <w:rPr>
          <w:rFonts w:ascii="Arial" w:hAnsi="Arial" w:cs="Arial"/>
          <w:sz w:val="22"/>
          <w:szCs w:val="22"/>
        </w:rPr>
        <w:t xml:space="preserve">. </w:t>
      </w:r>
      <w:r>
        <w:rPr>
          <w:rFonts w:ascii="Arial" w:hAnsi="Arial" w:cs="Arial"/>
          <w:sz w:val="22"/>
          <w:szCs w:val="22"/>
        </w:rPr>
        <w:t>We</w:t>
      </w:r>
      <w:r w:rsidRPr="00C532AF">
        <w:rPr>
          <w:rFonts w:ascii="Arial" w:hAnsi="Arial" w:cs="Arial"/>
          <w:sz w:val="22"/>
          <w:szCs w:val="22"/>
        </w:rPr>
        <w:t xml:space="preserve"> also support GPs by enhancing knowledge and offering specialist advice whilst fostering collaboration with Gender Identity Clinics (GICs) and offering holistic care </w:t>
      </w:r>
      <w:r>
        <w:rPr>
          <w:rFonts w:ascii="Arial" w:hAnsi="Arial" w:cs="Arial"/>
          <w:sz w:val="22"/>
          <w:szCs w:val="22"/>
        </w:rPr>
        <w:t>via</w:t>
      </w:r>
      <w:r w:rsidRPr="00C532AF">
        <w:rPr>
          <w:rFonts w:ascii="Arial" w:hAnsi="Arial" w:cs="Arial"/>
          <w:sz w:val="22"/>
          <w:szCs w:val="22"/>
        </w:rPr>
        <w:t xml:space="preserve"> shared clinical records.</w:t>
      </w:r>
    </w:p>
    <w:p w14:paraId="249F70F6" w14:textId="77777777" w:rsidR="00C532AF" w:rsidRPr="00C532AF" w:rsidRDefault="00C532AF" w:rsidP="00C532AF">
      <w:pPr>
        <w:spacing w:after="0" w:line="240" w:lineRule="auto"/>
        <w:rPr>
          <w:rFonts w:ascii="Arial" w:hAnsi="Arial" w:cs="Arial"/>
          <w:b/>
          <w:bCs/>
          <w:color w:val="0070C0"/>
          <w:sz w:val="12"/>
          <w:szCs w:val="12"/>
        </w:rPr>
      </w:pPr>
    </w:p>
    <w:p w14:paraId="1D277BAB" w14:textId="064D33B2" w:rsidR="00C532AF" w:rsidRDefault="00C532AF" w:rsidP="00C532AF">
      <w:pPr>
        <w:spacing w:after="0" w:line="240" w:lineRule="auto"/>
        <w:rPr>
          <w:rFonts w:ascii="Arial" w:hAnsi="Arial" w:cs="Arial"/>
          <w:b/>
          <w:bCs/>
          <w:color w:val="0070C0"/>
        </w:rPr>
      </w:pPr>
      <w:r>
        <w:rPr>
          <w:rFonts w:ascii="Arial" w:hAnsi="Arial" w:cs="Arial"/>
          <w:b/>
          <w:bCs/>
          <w:color w:val="0070C0"/>
        </w:rPr>
        <w:t>Who provides this service?</w:t>
      </w:r>
    </w:p>
    <w:p w14:paraId="45DC091A" w14:textId="4863A770" w:rsidR="00C532AF" w:rsidRPr="00C532AF" w:rsidRDefault="00C532AF" w:rsidP="00C532AF">
      <w:pPr>
        <w:spacing w:after="0" w:line="240" w:lineRule="auto"/>
        <w:rPr>
          <w:rFonts w:ascii="Arial" w:hAnsi="Arial" w:cs="Arial"/>
          <w:sz w:val="22"/>
          <w:szCs w:val="22"/>
        </w:rPr>
      </w:pPr>
      <w:r w:rsidRPr="00C532AF">
        <w:rPr>
          <w:rFonts w:ascii="Arial" w:hAnsi="Arial" w:cs="Arial"/>
          <w:sz w:val="22"/>
          <w:szCs w:val="22"/>
        </w:rPr>
        <w:t>Newhall Surgery delivers the service with General Practitioners with Extended Roles (GPwER) who have specialist training and experience in managing Gender Dysphoria / Gender Incongruence, supported by specialist GICs.</w:t>
      </w:r>
    </w:p>
    <w:p w14:paraId="25640797" w14:textId="77777777" w:rsidR="00C532AF" w:rsidRPr="00C532AF" w:rsidRDefault="00C532AF" w:rsidP="00C532AF">
      <w:pPr>
        <w:spacing w:after="0" w:line="240" w:lineRule="auto"/>
        <w:rPr>
          <w:rFonts w:ascii="Arial" w:hAnsi="Arial" w:cs="Arial"/>
          <w:b/>
          <w:bCs/>
          <w:color w:val="0070C0"/>
          <w:sz w:val="12"/>
          <w:szCs w:val="12"/>
        </w:rPr>
      </w:pPr>
    </w:p>
    <w:p w14:paraId="18442C4F" w14:textId="229638B4" w:rsidR="00C532AF" w:rsidRPr="00C532AF" w:rsidRDefault="00C532AF" w:rsidP="00C532AF">
      <w:pPr>
        <w:spacing w:after="0" w:line="240" w:lineRule="auto"/>
        <w:rPr>
          <w:rFonts w:ascii="Arial" w:hAnsi="Arial" w:cs="Arial"/>
          <w:b/>
          <w:bCs/>
          <w:color w:val="0070C0"/>
        </w:rPr>
      </w:pPr>
      <w:r w:rsidRPr="00C532AF">
        <w:rPr>
          <w:rFonts w:ascii="Arial" w:hAnsi="Arial" w:cs="Arial"/>
          <w:b/>
          <w:bCs/>
          <w:color w:val="0070C0"/>
        </w:rPr>
        <w:t>What support does the service provide?</w:t>
      </w:r>
    </w:p>
    <w:p w14:paraId="4E98D137" w14:textId="18FC6AAD" w:rsidR="00C532AF" w:rsidRPr="00C532AF" w:rsidRDefault="00C532AF" w:rsidP="00C532AF">
      <w:pPr>
        <w:numPr>
          <w:ilvl w:val="0"/>
          <w:numId w:val="1"/>
        </w:numPr>
        <w:spacing w:after="0" w:line="240" w:lineRule="auto"/>
        <w:rPr>
          <w:rFonts w:ascii="Arial" w:hAnsi="Arial" w:cs="Arial"/>
          <w:sz w:val="22"/>
          <w:szCs w:val="22"/>
        </w:rPr>
      </w:pPr>
      <w:r w:rsidRPr="00C532AF">
        <w:rPr>
          <w:rFonts w:ascii="Arial" w:hAnsi="Arial" w:cs="Arial"/>
          <w:sz w:val="22"/>
          <w:szCs w:val="22"/>
        </w:rPr>
        <w:t xml:space="preserve">Specialist advice and </w:t>
      </w:r>
      <w:r>
        <w:rPr>
          <w:rFonts w:ascii="Arial" w:hAnsi="Arial" w:cs="Arial"/>
          <w:sz w:val="22"/>
          <w:szCs w:val="22"/>
        </w:rPr>
        <w:t xml:space="preserve">support for healthcare professionals and patients. </w:t>
      </w:r>
    </w:p>
    <w:p w14:paraId="579F1261" w14:textId="77777777" w:rsidR="00C532AF" w:rsidRPr="00C532AF" w:rsidRDefault="00C532AF" w:rsidP="00C532AF">
      <w:pPr>
        <w:numPr>
          <w:ilvl w:val="0"/>
          <w:numId w:val="1"/>
        </w:numPr>
        <w:spacing w:after="0" w:line="240" w:lineRule="auto"/>
        <w:rPr>
          <w:rFonts w:ascii="Arial" w:hAnsi="Arial" w:cs="Arial"/>
          <w:sz w:val="22"/>
          <w:szCs w:val="22"/>
        </w:rPr>
      </w:pPr>
      <w:r w:rsidRPr="00C532AF">
        <w:rPr>
          <w:rFonts w:ascii="Arial" w:hAnsi="Arial" w:cs="Arial"/>
          <w:sz w:val="22"/>
          <w:szCs w:val="22"/>
        </w:rPr>
        <w:t>Face-to-face, telephone, or online consultations for patients, as needed.</w:t>
      </w:r>
    </w:p>
    <w:p w14:paraId="0C91068E" w14:textId="77777777" w:rsidR="00C532AF" w:rsidRPr="00C532AF" w:rsidRDefault="00C532AF" w:rsidP="00C532AF">
      <w:pPr>
        <w:numPr>
          <w:ilvl w:val="0"/>
          <w:numId w:val="1"/>
        </w:numPr>
        <w:spacing w:after="0" w:line="240" w:lineRule="auto"/>
        <w:rPr>
          <w:rFonts w:ascii="Arial" w:hAnsi="Arial" w:cs="Arial"/>
          <w:sz w:val="22"/>
          <w:szCs w:val="22"/>
        </w:rPr>
      </w:pPr>
      <w:r w:rsidRPr="00C532AF">
        <w:rPr>
          <w:rFonts w:ascii="Arial" w:hAnsi="Arial" w:cs="Arial"/>
          <w:sz w:val="22"/>
          <w:szCs w:val="22"/>
        </w:rPr>
        <w:t>Long-term community care for patients discharged from specialist GICs (a 'step down' service).</w:t>
      </w:r>
    </w:p>
    <w:p w14:paraId="32B53DF8" w14:textId="07A7AFE3" w:rsidR="00C532AF" w:rsidRPr="00C532AF" w:rsidRDefault="00C532AF" w:rsidP="00C532AF">
      <w:pPr>
        <w:numPr>
          <w:ilvl w:val="0"/>
          <w:numId w:val="1"/>
        </w:numPr>
        <w:spacing w:after="0" w:line="240" w:lineRule="auto"/>
        <w:rPr>
          <w:rFonts w:ascii="Arial" w:hAnsi="Arial" w:cs="Arial"/>
          <w:sz w:val="22"/>
          <w:szCs w:val="22"/>
        </w:rPr>
      </w:pPr>
      <w:r w:rsidRPr="00C532AF">
        <w:rPr>
          <w:rFonts w:ascii="Arial" w:hAnsi="Arial" w:cs="Arial"/>
          <w:sz w:val="22"/>
          <w:szCs w:val="22"/>
        </w:rPr>
        <w:t>Prescribing and monitoring hormone treatments</w:t>
      </w:r>
      <w:r>
        <w:rPr>
          <w:rFonts w:ascii="Arial" w:hAnsi="Arial" w:cs="Arial"/>
          <w:sz w:val="22"/>
          <w:szCs w:val="22"/>
        </w:rPr>
        <w:t xml:space="preserve"> for patients</w:t>
      </w:r>
      <w:r w:rsidRPr="00C532AF">
        <w:rPr>
          <w:rFonts w:ascii="Arial" w:hAnsi="Arial" w:cs="Arial"/>
          <w:sz w:val="22"/>
          <w:szCs w:val="22"/>
        </w:rPr>
        <w:t xml:space="preserve"> in partnership with Nottinghamshire GIC.</w:t>
      </w:r>
    </w:p>
    <w:p w14:paraId="746CBD83" w14:textId="77777777" w:rsidR="00C532AF" w:rsidRPr="00C532AF" w:rsidRDefault="00C532AF" w:rsidP="00C532AF">
      <w:pPr>
        <w:spacing w:after="0" w:line="240" w:lineRule="auto"/>
        <w:rPr>
          <w:rFonts w:ascii="Arial" w:hAnsi="Arial" w:cs="Arial"/>
          <w:b/>
          <w:bCs/>
          <w:color w:val="0070C0"/>
          <w:sz w:val="12"/>
          <w:szCs w:val="12"/>
        </w:rPr>
      </w:pPr>
    </w:p>
    <w:p w14:paraId="6E43F7E0" w14:textId="2E56E8C7" w:rsidR="00C532AF" w:rsidRPr="00C532AF" w:rsidRDefault="00C532AF" w:rsidP="00C532AF">
      <w:pPr>
        <w:spacing w:after="0" w:line="240" w:lineRule="auto"/>
        <w:rPr>
          <w:rFonts w:ascii="Arial" w:hAnsi="Arial" w:cs="Arial"/>
          <w:b/>
          <w:bCs/>
          <w:color w:val="0070C0"/>
        </w:rPr>
      </w:pPr>
      <w:r w:rsidRPr="00C532AF">
        <w:rPr>
          <w:rFonts w:ascii="Arial" w:hAnsi="Arial" w:cs="Arial"/>
          <w:b/>
          <w:bCs/>
          <w:color w:val="0070C0"/>
        </w:rPr>
        <w:t>How are my medical records and referrals managed?</w:t>
      </w:r>
    </w:p>
    <w:p w14:paraId="408947EF" w14:textId="77777777" w:rsidR="00C532AF" w:rsidRPr="00C532AF" w:rsidRDefault="00C532AF" w:rsidP="00C532AF">
      <w:pPr>
        <w:spacing w:after="0" w:line="240" w:lineRule="auto"/>
        <w:rPr>
          <w:rFonts w:ascii="Arial" w:hAnsi="Arial" w:cs="Arial"/>
          <w:sz w:val="22"/>
          <w:szCs w:val="22"/>
        </w:rPr>
      </w:pPr>
      <w:r w:rsidRPr="00C532AF">
        <w:rPr>
          <w:rFonts w:ascii="Arial" w:hAnsi="Arial" w:cs="Arial"/>
          <w:sz w:val="22"/>
          <w:szCs w:val="22"/>
        </w:rPr>
        <w:t xml:space="preserve">All consultations and interventions are documented in your electronic medical record to maintain continuity and quality of care. The service will keep your GP Practice updated on the progress and outcome of your referral. All information is handled with strict confidentiality in accordance with NHS data protection and confidentiality standards. Only those involved in your care will access your records. </w:t>
      </w:r>
    </w:p>
    <w:p w14:paraId="40EE8924" w14:textId="77777777" w:rsidR="00C532AF" w:rsidRPr="00C532AF" w:rsidRDefault="00C532AF" w:rsidP="00C532AF">
      <w:pPr>
        <w:spacing w:after="0" w:line="240" w:lineRule="auto"/>
        <w:rPr>
          <w:rFonts w:ascii="Arial" w:hAnsi="Arial" w:cs="Arial"/>
          <w:b/>
          <w:bCs/>
          <w:color w:val="0070C0"/>
          <w:sz w:val="12"/>
          <w:szCs w:val="12"/>
        </w:rPr>
      </w:pPr>
    </w:p>
    <w:p w14:paraId="518973AD" w14:textId="77777777" w:rsidR="00C532AF" w:rsidRPr="00C532AF" w:rsidRDefault="00C532AF" w:rsidP="00C532AF">
      <w:pPr>
        <w:spacing w:after="0" w:line="240" w:lineRule="auto"/>
        <w:rPr>
          <w:rFonts w:ascii="Arial" w:hAnsi="Arial" w:cs="Arial"/>
          <w:b/>
          <w:bCs/>
          <w:color w:val="0070C0"/>
        </w:rPr>
      </w:pPr>
      <w:r w:rsidRPr="00C532AF">
        <w:rPr>
          <w:rFonts w:ascii="Arial" w:hAnsi="Arial" w:cs="Arial"/>
          <w:b/>
          <w:bCs/>
          <w:color w:val="0070C0"/>
        </w:rPr>
        <w:t>What kind of consultations does the service offer?</w:t>
      </w:r>
    </w:p>
    <w:p w14:paraId="21279CE6" w14:textId="77777777" w:rsidR="00C532AF" w:rsidRPr="00C532AF" w:rsidRDefault="00C532AF" w:rsidP="00C532AF">
      <w:pPr>
        <w:spacing w:after="0" w:line="240" w:lineRule="auto"/>
        <w:rPr>
          <w:rFonts w:ascii="Arial" w:hAnsi="Arial" w:cs="Arial"/>
          <w:sz w:val="22"/>
          <w:szCs w:val="22"/>
        </w:rPr>
      </w:pPr>
      <w:r w:rsidRPr="00C532AF">
        <w:rPr>
          <w:rFonts w:ascii="Arial" w:hAnsi="Arial" w:cs="Arial"/>
          <w:sz w:val="22"/>
          <w:szCs w:val="22"/>
        </w:rPr>
        <w:t>Depending on your needs, consultations may be offered face-to-face at a convenient local venue or remotely via telephone or online video.</w:t>
      </w:r>
    </w:p>
    <w:p w14:paraId="7AADA60C" w14:textId="15F2B194" w:rsidR="00C532AF" w:rsidRPr="00C532AF" w:rsidRDefault="00C532AF" w:rsidP="00C532AF">
      <w:pPr>
        <w:spacing w:after="0" w:line="240" w:lineRule="auto"/>
        <w:rPr>
          <w:rFonts w:ascii="Arial" w:hAnsi="Arial" w:cs="Arial"/>
          <w:b/>
          <w:bCs/>
          <w:color w:val="0070C0"/>
        </w:rPr>
      </w:pPr>
      <w:r w:rsidRPr="00C532AF">
        <w:rPr>
          <w:rFonts w:ascii="Arial" w:hAnsi="Arial" w:cs="Arial"/>
          <w:b/>
          <w:bCs/>
          <w:color w:val="0070C0"/>
        </w:rPr>
        <w:t>Can the service manage my hormone therapy?</w:t>
      </w:r>
    </w:p>
    <w:p w14:paraId="72C807E7" w14:textId="01D6F30B" w:rsidR="00C532AF" w:rsidRPr="00C532AF" w:rsidRDefault="00C532AF" w:rsidP="00C532AF">
      <w:pPr>
        <w:spacing w:after="0" w:line="240" w:lineRule="auto"/>
        <w:rPr>
          <w:rFonts w:ascii="Arial" w:hAnsi="Arial" w:cs="Arial"/>
          <w:sz w:val="22"/>
          <w:szCs w:val="22"/>
        </w:rPr>
      </w:pPr>
      <w:r w:rsidRPr="00C532AF">
        <w:rPr>
          <w:rFonts w:ascii="Arial" w:hAnsi="Arial" w:cs="Arial"/>
          <w:sz w:val="22"/>
          <w:szCs w:val="22"/>
        </w:rPr>
        <w:t>Yes. The service can support the prescribing and monitoring of hormone treatments for transmen and transwomen following guidance from specialist GICs providing that they can be managed within a primary care setting, which may include ongoing monitoring of treatment effects and potential side effects. However, administration of injections and certain investigations remain the responsibility of your GP Practice.</w:t>
      </w:r>
    </w:p>
    <w:p w14:paraId="4CF6F072" w14:textId="77777777" w:rsidR="00C532AF" w:rsidRPr="00C532AF" w:rsidRDefault="00C532AF" w:rsidP="00C532AF">
      <w:pPr>
        <w:spacing w:after="0" w:line="240" w:lineRule="auto"/>
        <w:rPr>
          <w:rFonts w:ascii="Arial" w:hAnsi="Arial" w:cs="Arial"/>
          <w:b/>
          <w:bCs/>
          <w:color w:val="0070C0"/>
          <w:sz w:val="12"/>
          <w:szCs w:val="12"/>
        </w:rPr>
      </w:pPr>
    </w:p>
    <w:p w14:paraId="71032813" w14:textId="73DA456C" w:rsidR="00C532AF" w:rsidRPr="00C532AF" w:rsidRDefault="00C532AF" w:rsidP="00C532AF">
      <w:pPr>
        <w:spacing w:after="0" w:line="240" w:lineRule="auto"/>
        <w:rPr>
          <w:rFonts w:ascii="Arial" w:hAnsi="Arial" w:cs="Arial"/>
          <w:b/>
          <w:bCs/>
          <w:color w:val="0070C0"/>
        </w:rPr>
      </w:pPr>
      <w:r w:rsidRPr="00C532AF">
        <w:rPr>
          <w:rFonts w:ascii="Arial" w:hAnsi="Arial" w:cs="Arial"/>
          <w:b/>
          <w:bCs/>
          <w:color w:val="0070C0"/>
        </w:rPr>
        <w:t xml:space="preserve">Can the </w:t>
      </w:r>
      <w:r>
        <w:rPr>
          <w:rFonts w:ascii="Arial" w:hAnsi="Arial" w:cs="Arial"/>
          <w:b/>
          <w:bCs/>
          <w:color w:val="0070C0"/>
        </w:rPr>
        <w:t>service</w:t>
      </w:r>
      <w:r w:rsidRPr="00C532AF">
        <w:rPr>
          <w:rFonts w:ascii="Arial" w:hAnsi="Arial" w:cs="Arial"/>
          <w:b/>
          <w:bCs/>
          <w:color w:val="0070C0"/>
        </w:rPr>
        <w:t xml:space="preserve"> help me with legal or social issues related to gender transition?</w:t>
      </w:r>
    </w:p>
    <w:p w14:paraId="21255C9C" w14:textId="47A94DDE" w:rsidR="00C532AF" w:rsidRPr="00C532AF" w:rsidRDefault="00C532AF" w:rsidP="00C532AF">
      <w:pPr>
        <w:spacing w:after="0" w:line="240" w:lineRule="auto"/>
        <w:rPr>
          <w:rFonts w:ascii="Arial" w:hAnsi="Arial" w:cs="Arial"/>
          <w:sz w:val="22"/>
          <w:szCs w:val="22"/>
        </w:rPr>
      </w:pPr>
      <w:r w:rsidRPr="00C532AF">
        <w:rPr>
          <w:rFonts w:ascii="Arial" w:hAnsi="Arial" w:cs="Arial"/>
          <w:sz w:val="22"/>
          <w:szCs w:val="22"/>
        </w:rPr>
        <w:t xml:space="preserve">While </w:t>
      </w:r>
      <w:r>
        <w:rPr>
          <w:rFonts w:ascii="Arial" w:hAnsi="Arial" w:cs="Arial"/>
          <w:sz w:val="22"/>
          <w:szCs w:val="22"/>
        </w:rPr>
        <w:t>we do</w:t>
      </w:r>
      <w:r w:rsidRPr="00C532AF">
        <w:rPr>
          <w:rFonts w:ascii="Arial" w:hAnsi="Arial" w:cs="Arial"/>
          <w:sz w:val="22"/>
          <w:szCs w:val="22"/>
        </w:rPr>
        <w:t xml:space="preserve"> not provide legal advice, we can signpost you to appropriate organisations and resources for support with legal name changes, documentation, and social services.</w:t>
      </w:r>
    </w:p>
    <w:p w14:paraId="315EA251" w14:textId="77777777" w:rsidR="00C532AF" w:rsidRPr="00C532AF" w:rsidRDefault="00C532AF" w:rsidP="00C532AF">
      <w:pPr>
        <w:spacing w:after="0" w:line="240" w:lineRule="auto"/>
        <w:rPr>
          <w:rFonts w:ascii="Arial" w:hAnsi="Arial" w:cs="Arial"/>
          <w:b/>
          <w:bCs/>
          <w:sz w:val="12"/>
          <w:szCs w:val="12"/>
        </w:rPr>
      </w:pPr>
    </w:p>
    <w:p w14:paraId="1685C882" w14:textId="630A5ACF" w:rsidR="00C532AF" w:rsidRPr="00C532AF" w:rsidRDefault="00C532AF" w:rsidP="00C532AF">
      <w:pPr>
        <w:spacing w:after="0" w:line="240" w:lineRule="auto"/>
        <w:rPr>
          <w:rFonts w:ascii="Arial" w:hAnsi="Arial" w:cs="Arial"/>
          <w:b/>
          <w:bCs/>
          <w:color w:val="0070C0"/>
        </w:rPr>
      </w:pPr>
      <w:r w:rsidRPr="00C532AF">
        <w:rPr>
          <w:rFonts w:ascii="Arial" w:hAnsi="Arial" w:cs="Arial"/>
          <w:b/>
          <w:bCs/>
          <w:color w:val="0070C0"/>
        </w:rPr>
        <w:t>What about referrals to specialist GICs?</w:t>
      </w:r>
    </w:p>
    <w:p w14:paraId="2569D6DB" w14:textId="77777777" w:rsidR="00C532AF" w:rsidRPr="00C532AF" w:rsidRDefault="00C532AF" w:rsidP="00C532AF">
      <w:pPr>
        <w:spacing w:after="0" w:line="240" w:lineRule="auto"/>
        <w:rPr>
          <w:rFonts w:ascii="Arial" w:hAnsi="Arial" w:cs="Arial"/>
          <w:sz w:val="22"/>
          <w:szCs w:val="22"/>
        </w:rPr>
      </w:pPr>
      <w:r w:rsidRPr="00C532AF">
        <w:rPr>
          <w:rFonts w:ascii="Arial" w:hAnsi="Arial" w:cs="Arial"/>
          <w:sz w:val="22"/>
          <w:szCs w:val="22"/>
        </w:rPr>
        <w:t>This service works closely with specialist GICs. If specialist assessment or treatments (e.g., surgery) are required, we will recommend referrals and the coordination of care to your GP Practice to action.</w:t>
      </w:r>
    </w:p>
    <w:p w14:paraId="686448CD" w14:textId="77777777" w:rsidR="00C532AF" w:rsidRPr="00C532AF" w:rsidRDefault="00C532AF" w:rsidP="00C532AF">
      <w:pPr>
        <w:spacing w:after="0" w:line="240" w:lineRule="auto"/>
        <w:rPr>
          <w:rFonts w:ascii="Arial" w:hAnsi="Arial" w:cs="Arial"/>
          <w:sz w:val="12"/>
          <w:szCs w:val="12"/>
        </w:rPr>
      </w:pPr>
    </w:p>
    <w:p w14:paraId="6BEE50AF" w14:textId="53737938" w:rsidR="00C532AF" w:rsidRPr="00C532AF" w:rsidRDefault="00C532AF" w:rsidP="00C532AF">
      <w:pPr>
        <w:spacing w:after="0" w:line="240" w:lineRule="auto"/>
        <w:rPr>
          <w:rFonts w:ascii="Arial" w:hAnsi="Arial" w:cs="Arial"/>
          <w:b/>
          <w:bCs/>
          <w:color w:val="0070C0"/>
        </w:rPr>
      </w:pPr>
      <w:r w:rsidRPr="00C532AF">
        <w:rPr>
          <w:rFonts w:ascii="Arial" w:hAnsi="Arial" w:cs="Arial"/>
          <w:b/>
          <w:bCs/>
          <w:color w:val="0070C0"/>
        </w:rPr>
        <w:t>What happens after discharge</w:t>
      </w:r>
      <w:r>
        <w:rPr>
          <w:rFonts w:ascii="Arial" w:hAnsi="Arial" w:cs="Arial"/>
          <w:b/>
          <w:bCs/>
          <w:color w:val="0070C0"/>
        </w:rPr>
        <w:t xml:space="preserve"> </w:t>
      </w:r>
      <w:r w:rsidRPr="00C532AF">
        <w:rPr>
          <w:rFonts w:ascii="Arial" w:hAnsi="Arial" w:cs="Arial"/>
          <w:b/>
          <w:bCs/>
          <w:color w:val="0070C0"/>
        </w:rPr>
        <w:t>from GIC</w:t>
      </w:r>
      <w:r>
        <w:rPr>
          <w:rFonts w:ascii="Arial" w:hAnsi="Arial" w:cs="Arial"/>
          <w:b/>
          <w:bCs/>
          <w:color w:val="0070C0"/>
        </w:rPr>
        <w:t>s</w:t>
      </w:r>
      <w:r w:rsidRPr="00C532AF">
        <w:rPr>
          <w:rFonts w:ascii="Arial" w:hAnsi="Arial" w:cs="Arial"/>
          <w:b/>
          <w:bCs/>
          <w:color w:val="0070C0"/>
        </w:rPr>
        <w:t>?</w:t>
      </w:r>
    </w:p>
    <w:p w14:paraId="1E912B83" w14:textId="77777777" w:rsidR="00C532AF" w:rsidRDefault="00C532AF" w:rsidP="00C532AF">
      <w:pPr>
        <w:spacing w:after="0" w:line="240" w:lineRule="auto"/>
        <w:rPr>
          <w:rFonts w:ascii="Arial" w:hAnsi="Arial" w:cs="Arial"/>
          <w:sz w:val="22"/>
          <w:szCs w:val="22"/>
        </w:rPr>
      </w:pPr>
      <w:r w:rsidRPr="00C532AF">
        <w:rPr>
          <w:rFonts w:ascii="Arial" w:hAnsi="Arial" w:cs="Arial"/>
          <w:sz w:val="22"/>
          <w:szCs w:val="22"/>
        </w:rPr>
        <w:t xml:space="preserve">Patients who are stable and discharged from GICs can receive ongoing support from the service in primary care. This </w:t>
      </w:r>
      <w:r>
        <w:rPr>
          <w:rFonts w:ascii="Arial" w:hAnsi="Arial" w:cs="Arial"/>
          <w:sz w:val="22"/>
          <w:szCs w:val="22"/>
        </w:rPr>
        <w:t>'</w:t>
      </w:r>
      <w:r w:rsidRPr="00C532AF">
        <w:rPr>
          <w:rFonts w:ascii="Arial" w:hAnsi="Arial" w:cs="Arial"/>
          <w:sz w:val="22"/>
          <w:szCs w:val="22"/>
        </w:rPr>
        <w:t>step-down</w:t>
      </w:r>
      <w:r>
        <w:rPr>
          <w:rFonts w:ascii="Arial" w:hAnsi="Arial" w:cs="Arial"/>
          <w:sz w:val="22"/>
          <w:szCs w:val="22"/>
        </w:rPr>
        <w:t>'</w:t>
      </w:r>
      <w:r w:rsidRPr="00C532AF">
        <w:rPr>
          <w:rFonts w:ascii="Arial" w:hAnsi="Arial" w:cs="Arial"/>
          <w:sz w:val="22"/>
          <w:szCs w:val="22"/>
        </w:rPr>
        <w:t xml:space="preserve"> approach ensures continued monitoring and management close to home. </w:t>
      </w:r>
    </w:p>
    <w:p w14:paraId="05CF6EB6" w14:textId="77777777" w:rsidR="00C532AF" w:rsidRPr="00C532AF" w:rsidRDefault="00C532AF" w:rsidP="00C532AF">
      <w:pPr>
        <w:spacing w:after="0" w:line="240" w:lineRule="auto"/>
        <w:rPr>
          <w:rFonts w:ascii="Arial" w:hAnsi="Arial" w:cs="Arial"/>
          <w:sz w:val="12"/>
          <w:szCs w:val="12"/>
        </w:rPr>
      </w:pPr>
    </w:p>
    <w:p w14:paraId="6A49D7FB" w14:textId="423EFF28" w:rsidR="00C532AF" w:rsidRPr="00C532AF" w:rsidRDefault="00C532AF" w:rsidP="00C532AF">
      <w:pPr>
        <w:spacing w:after="0" w:line="240" w:lineRule="auto"/>
        <w:rPr>
          <w:rFonts w:ascii="Arial" w:hAnsi="Arial" w:cs="Arial"/>
          <w:b/>
          <w:bCs/>
          <w:color w:val="0070C0"/>
        </w:rPr>
      </w:pPr>
      <w:r w:rsidRPr="00C532AF">
        <w:rPr>
          <w:rFonts w:ascii="Arial" w:hAnsi="Arial" w:cs="Arial"/>
          <w:b/>
          <w:bCs/>
          <w:color w:val="0070C0"/>
        </w:rPr>
        <w:t>Is psychological support included?</w:t>
      </w:r>
    </w:p>
    <w:p w14:paraId="2BE7A71F" w14:textId="41EC2857" w:rsidR="00C532AF" w:rsidRDefault="00C532AF" w:rsidP="00C532AF">
      <w:pPr>
        <w:spacing w:after="0" w:line="240" w:lineRule="auto"/>
        <w:rPr>
          <w:rFonts w:ascii="Arial" w:hAnsi="Arial" w:cs="Arial"/>
          <w:sz w:val="22"/>
          <w:szCs w:val="22"/>
        </w:rPr>
      </w:pPr>
      <w:r w:rsidRPr="00C532AF">
        <w:rPr>
          <w:rFonts w:ascii="Arial" w:hAnsi="Arial" w:cs="Arial"/>
          <w:sz w:val="22"/>
          <w:szCs w:val="22"/>
        </w:rPr>
        <w:t>While the service may provide you with initial mental health support and screening, if we believe you may benefit from specialist psychological interventions, we will recommend referrals to your GP Practice to action.</w:t>
      </w:r>
    </w:p>
    <w:p w14:paraId="40DCD28F" w14:textId="77777777" w:rsidR="00C532AF" w:rsidRPr="00C532AF" w:rsidRDefault="00C532AF" w:rsidP="00C532AF">
      <w:pPr>
        <w:spacing w:after="0" w:line="240" w:lineRule="auto"/>
        <w:rPr>
          <w:rFonts w:ascii="Arial" w:hAnsi="Arial" w:cs="Arial"/>
          <w:sz w:val="12"/>
          <w:szCs w:val="12"/>
        </w:rPr>
      </w:pPr>
    </w:p>
    <w:p w14:paraId="458D8A6B" w14:textId="77777777" w:rsidR="00C532AF" w:rsidRPr="00C532AF" w:rsidRDefault="00C532AF" w:rsidP="00C532AF">
      <w:pPr>
        <w:spacing w:after="0" w:line="240" w:lineRule="auto"/>
        <w:rPr>
          <w:rFonts w:ascii="Arial" w:hAnsi="Arial" w:cs="Arial"/>
          <w:b/>
          <w:bCs/>
          <w:color w:val="0070C0"/>
        </w:rPr>
      </w:pPr>
      <w:r w:rsidRPr="00C532AF">
        <w:rPr>
          <w:rFonts w:ascii="Arial" w:hAnsi="Arial" w:cs="Arial"/>
          <w:b/>
          <w:bCs/>
          <w:color w:val="0070C0"/>
        </w:rPr>
        <w:t>Can family members be involved in my care?</w:t>
      </w:r>
    </w:p>
    <w:p w14:paraId="2E852948" w14:textId="08381934" w:rsidR="00C532AF" w:rsidRDefault="00C532AF" w:rsidP="00C532AF">
      <w:pPr>
        <w:spacing w:after="0" w:line="240" w:lineRule="auto"/>
        <w:rPr>
          <w:rFonts w:ascii="Arial" w:hAnsi="Arial" w:cs="Arial"/>
          <w:sz w:val="22"/>
          <w:szCs w:val="22"/>
        </w:rPr>
      </w:pPr>
      <w:r w:rsidRPr="00C532AF">
        <w:rPr>
          <w:rFonts w:ascii="Arial" w:hAnsi="Arial" w:cs="Arial"/>
          <w:sz w:val="22"/>
          <w:szCs w:val="22"/>
        </w:rPr>
        <w:t>We encourage patient autonomy and will involve family members or carers only with your consent, unless there are exceptional safeguarding concerns.</w:t>
      </w:r>
    </w:p>
    <w:p w14:paraId="27F7F711" w14:textId="77777777" w:rsidR="00C532AF" w:rsidRPr="00C532AF" w:rsidRDefault="00C532AF" w:rsidP="00C532AF">
      <w:pPr>
        <w:spacing w:after="0" w:line="240" w:lineRule="auto"/>
        <w:rPr>
          <w:rFonts w:ascii="Arial" w:hAnsi="Arial" w:cs="Arial"/>
          <w:sz w:val="12"/>
          <w:szCs w:val="12"/>
        </w:rPr>
      </w:pPr>
    </w:p>
    <w:p w14:paraId="13822776" w14:textId="77777777" w:rsidR="00C532AF" w:rsidRPr="00C532AF" w:rsidRDefault="00C532AF" w:rsidP="00C532AF">
      <w:pPr>
        <w:spacing w:after="0" w:line="240" w:lineRule="auto"/>
        <w:rPr>
          <w:rFonts w:ascii="Arial" w:hAnsi="Arial" w:cs="Arial"/>
          <w:b/>
          <w:bCs/>
          <w:color w:val="0070C0"/>
        </w:rPr>
      </w:pPr>
      <w:r w:rsidRPr="00C532AF">
        <w:rPr>
          <w:rFonts w:ascii="Arial" w:hAnsi="Arial" w:cs="Arial"/>
          <w:b/>
          <w:bCs/>
          <w:color w:val="0070C0"/>
        </w:rPr>
        <w:t>Does the service offer emergency or urgent care?</w:t>
      </w:r>
    </w:p>
    <w:p w14:paraId="6FAB239D" w14:textId="1B4DB31A" w:rsidR="00C532AF" w:rsidRPr="00C532AF" w:rsidRDefault="00C532AF" w:rsidP="00C532AF">
      <w:pPr>
        <w:spacing w:after="0" w:line="240" w:lineRule="auto"/>
        <w:rPr>
          <w:rFonts w:ascii="Arial" w:hAnsi="Arial" w:cs="Arial"/>
          <w:sz w:val="22"/>
          <w:szCs w:val="22"/>
        </w:rPr>
      </w:pPr>
      <w:r w:rsidRPr="00C532AF">
        <w:rPr>
          <w:rFonts w:ascii="Arial" w:hAnsi="Arial" w:cs="Arial"/>
          <w:sz w:val="22"/>
          <w:szCs w:val="22"/>
        </w:rPr>
        <w:t>No. In case of an emergency, please call 999 or go to the nearest Accident &amp; Emergency (A&amp;E) department. You can also access NHS 111 or Out of Hours outside of General Practice opening hours.</w:t>
      </w:r>
    </w:p>
    <w:sectPr w:rsidR="00C532AF" w:rsidRPr="00C532AF" w:rsidSect="00C532AF">
      <w:type w:val="continuous"/>
      <w:pgSz w:w="11906" w:h="16838"/>
      <w:pgMar w:top="720" w:right="720" w:bottom="720" w:left="720" w:header="283" w:footer="283"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E9581" w14:textId="77777777" w:rsidR="00C532AF" w:rsidRDefault="00C532AF" w:rsidP="00C532AF">
      <w:pPr>
        <w:spacing w:after="0" w:line="240" w:lineRule="auto"/>
      </w:pPr>
      <w:r>
        <w:separator/>
      </w:r>
    </w:p>
  </w:endnote>
  <w:endnote w:type="continuationSeparator" w:id="0">
    <w:p w14:paraId="37642B69" w14:textId="77777777" w:rsidR="00C532AF" w:rsidRDefault="00C532AF" w:rsidP="00C532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AC5C7" w14:textId="77777777" w:rsidR="00C532AF" w:rsidRDefault="00C532AF" w:rsidP="00C532AF">
      <w:pPr>
        <w:spacing w:after="0" w:line="240" w:lineRule="auto"/>
      </w:pPr>
      <w:r>
        <w:separator/>
      </w:r>
    </w:p>
  </w:footnote>
  <w:footnote w:type="continuationSeparator" w:id="0">
    <w:p w14:paraId="0DDFF0EE" w14:textId="77777777" w:rsidR="00C532AF" w:rsidRDefault="00C532AF" w:rsidP="00C532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1E2E1" w14:textId="061C805A" w:rsidR="00C532AF" w:rsidRDefault="00C532AF" w:rsidP="00C532AF">
    <w:pPr>
      <w:pStyle w:val="Header"/>
      <w:jc w:val="center"/>
    </w:pPr>
    <w:r>
      <w:rPr>
        <w:rFonts w:ascii="Calibri" w:hAnsi="Calibri" w:cs="Calibri"/>
        <w:noProof/>
        <w:color w:val="000000"/>
        <w:lang w:eastAsia="en-GB"/>
        <w14:ligatures w14:val="none"/>
      </w:rPr>
      <w:drawing>
        <wp:inline distT="0" distB="0" distL="0" distR="0" wp14:anchorId="7502EFC4" wp14:editId="094552C1">
          <wp:extent cx="2068830" cy="685800"/>
          <wp:effectExtent l="0" t="0" r="7620" b="0"/>
          <wp:docPr id="13794102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070717" cy="68642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351B08"/>
    <w:multiLevelType w:val="hybridMultilevel"/>
    <w:tmpl w:val="D968186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79CF4A08"/>
    <w:multiLevelType w:val="multilevel"/>
    <w:tmpl w:val="AF2CC55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515919288">
    <w:abstractNumId w:val="1"/>
  </w:num>
  <w:num w:numId="2" w16cid:durableId="143065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2AF"/>
    <w:rsid w:val="009E0EEE"/>
    <w:rsid w:val="00C532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F9B8D"/>
  <w15:chartTrackingRefBased/>
  <w15:docId w15:val="{835CFBDC-13DA-49E1-A2F4-ECC29B930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32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32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32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32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32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32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32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32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32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32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32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32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32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32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32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32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32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32AF"/>
    <w:rPr>
      <w:rFonts w:eastAsiaTheme="majorEastAsia" w:cstheme="majorBidi"/>
      <w:color w:val="272727" w:themeColor="text1" w:themeTint="D8"/>
    </w:rPr>
  </w:style>
  <w:style w:type="paragraph" w:styleId="Title">
    <w:name w:val="Title"/>
    <w:basedOn w:val="Normal"/>
    <w:next w:val="Normal"/>
    <w:link w:val="TitleChar"/>
    <w:uiPriority w:val="10"/>
    <w:qFormat/>
    <w:rsid w:val="00C532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32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32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32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32AF"/>
    <w:pPr>
      <w:spacing w:before="160"/>
      <w:jc w:val="center"/>
    </w:pPr>
    <w:rPr>
      <w:i/>
      <w:iCs/>
      <w:color w:val="404040" w:themeColor="text1" w:themeTint="BF"/>
    </w:rPr>
  </w:style>
  <w:style w:type="character" w:customStyle="1" w:styleId="QuoteChar">
    <w:name w:val="Quote Char"/>
    <w:basedOn w:val="DefaultParagraphFont"/>
    <w:link w:val="Quote"/>
    <w:uiPriority w:val="29"/>
    <w:rsid w:val="00C532AF"/>
    <w:rPr>
      <w:i/>
      <w:iCs/>
      <w:color w:val="404040" w:themeColor="text1" w:themeTint="BF"/>
    </w:rPr>
  </w:style>
  <w:style w:type="paragraph" w:styleId="ListParagraph">
    <w:name w:val="List Paragraph"/>
    <w:basedOn w:val="Normal"/>
    <w:uiPriority w:val="34"/>
    <w:qFormat/>
    <w:rsid w:val="00C532AF"/>
    <w:pPr>
      <w:ind w:left="720"/>
      <w:contextualSpacing/>
    </w:pPr>
  </w:style>
  <w:style w:type="character" w:styleId="IntenseEmphasis">
    <w:name w:val="Intense Emphasis"/>
    <w:basedOn w:val="DefaultParagraphFont"/>
    <w:uiPriority w:val="21"/>
    <w:qFormat/>
    <w:rsid w:val="00C532AF"/>
    <w:rPr>
      <w:i/>
      <w:iCs/>
      <w:color w:val="0F4761" w:themeColor="accent1" w:themeShade="BF"/>
    </w:rPr>
  </w:style>
  <w:style w:type="paragraph" w:styleId="IntenseQuote">
    <w:name w:val="Intense Quote"/>
    <w:basedOn w:val="Normal"/>
    <w:next w:val="Normal"/>
    <w:link w:val="IntenseQuoteChar"/>
    <w:uiPriority w:val="30"/>
    <w:qFormat/>
    <w:rsid w:val="00C532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32AF"/>
    <w:rPr>
      <w:i/>
      <w:iCs/>
      <w:color w:val="0F4761" w:themeColor="accent1" w:themeShade="BF"/>
    </w:rPr>
  </w:style>
  <w:style w:type="character" w:styleId="IntenseReference">
    <w:name w:val="Intense Reference"/>
    <w:basedOn w:val="DefaultParagraphFont"/>
    <w:uiPriority w:val="32"/>
    <w:qFormat/>
    <w:rsid w:val="00C532AF"/>
    <w:rPr>
      <w:b/>
      <w:bCs/>
      <w:smallCaps/>
      <w:color w:val="0F4761" w:themeColor="accent1" w:themeShade="BF"/>
      <w:spacing w:val="5"/>
    </w:rPr>
  </w:style>
  <w:style w:type="paragraph" w:styleId="Header">
    <w:name w:val="header"/>
    <w:basedOn w:val="Normal"/>
    <w:link w:val="HeaderChar"/>
    <w:uiPriority w:val="99"/>
    <w:unhideWhenUsed/>
    <w:rsid w:val="00C532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32AF"/>
  </w:style>
  <w:style w:type="paragraph" w:styleId="Footer">
    <w:name w:val="footer"/>
    <w:basedOn w:val="Normal"/>
    <w:link w:val="FooterChar"/>
    <w:uiPriority w:val="99"/>
    <w:unhideWhenUsed/>
    <w:rsid w:val="00C532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32AF"/>
  </w:style>
  <w:style w:type="character" w:styleId="Hyperlink">
    <w:name w:val="Hyperlink"/>
    <w:basedOn w:val="DefaultParagraphFont"/>
    <w:uiPriority w:val="99"/>
    <w:unhideWhenUsed/>
    <w:rsid w:val="00C532AF"/>
    <w:rPr>
      <w:color w:val="467886" w:themeColor="hyperlink"/>
      <w:u w:val="single"/>
    </w:rPr>
  </w:style>
  <w:style w:type="paragraph" w:styleId="NoSpacing">
    <w:name w:val="No Spacing"/>
    <w:uiPriority w:val="1"/>
    <w:qFormat/>
    <w:rsid w:val="00C532AF"/>
    <w:pPr>
      <w:spacing w:after="0" w:line="240" w:lineRule="auto"/>
    </w:pPr>
    <w:rPr>
      <w:rFonts w:ascii="Cambria" w:eastAsia="MS Mincho" w:hAnsi="Cambria" w:cs="Times New Roman"/>
      <w:kern w:val="0"/>
      <w:szCs w:val="20"/>
      <w:lang w:val="en-US"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3.jpg@01DC2D39.C476864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47</TotalTime>
  <Pages>1</Pages>
  <Words>580</Words>
  <Characters>3311</Characters>
  <Application>Microsoft Office Word</Application>
  <DocSecurity>0</DocSecurity>
  <Lines>27</Lines>
  <Paragraphs>7</Paragraphs>
  <ScaleCrop>false</ScaleCrop>
  <Company/>
  <LinksUpToDate>false</LinksUpToDate>
  <CharactersWithSpaces>3884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GREY, Nelle (NEWHALL SURGERY)</dc:creator>
  <cp:keywords/>
  <dc:description/>
  <cp:lastModifiedBy>GREY, Nelle (NEWHALL SURGERY)</cp:lastModifiedBy>
  <cp:revision>1</cp:revision>
  <dcterms:created xsi:type="dcterms:W3CDTF">2025-09-24T12:01:00Z</dcterms:created>
  <dcterms:modified xsi:type="dcterms:W3CDTF">2025-09-24T14:17:00Z</dcterms:modified>
</cp:coreProperties>
</file>